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1AF5" w14:textId="1C1B69DA" w:rsidR="001355E3" w:rsidRPr="001355E3" w:rsidRDefault="00811826">
      <w:pPr>
        <w:rPr>
          <w:b/>
          <w:bCs/>
        </w:rPr>
      </w:pPr>
      <w:r w:rsidRPr="001355E3">
        <w:rPr>
          <w:b/>
          <w:bCs/>
        </w:rPr>
        <w:t>Evidence submission to the House of Commons Environmental Audit Committee on Biodiversity and Ecosystems</w:t>
      </w:r>
    </w:p>
    <w:p w14:paraId="3C29E69D" w14:textId="58FDA4F4" w:rsidR="00811826" w:rsidRDefault="00811826">
      <w:r>
        <w:t xml:space="preserve"> </w:t>
      </w:r>
    </w:p>
    <w:p w14:paraId="489FB04E" w14:textId="1A43E3FC" w:rsidR="00CE6B2B" w:rsidRDefault="00CE6B2B">
      <w:r>
        <w:t>This evidence is submitted by Dr Ruth Little (University of Sheffield), Dr David Rose (University of Reading)</w:t>
      </w:r>
      <w:r w:rsidR="00ED3DDA">
        <w:t>, Dr Judith Tsouvalis (University of Sheffield)</w:t>
      </w:r>
      <w:r>
        <w:t xml:space="preserve"> and Professor Charlotte Burns (University of Sheffield). The authors are academics and are investigators on an Economic and Social Research Council </w:t>
      </w:r>
      <w:r w:rsidR="00C12605">
        <w:t xml:space="preserve">(ESRC) </w:t>
      </w:r>
      <w:r>
        <w:t xml:space="preserve">grant analysing the future prospects for </w:t>
      </w:r>
      <w:hyperlink r:id="rId8" w:history="1">
        <w:proofErr w:type="spellStart"/>
        <w:r w:rsidRPr="00C12605">
          <w:rPr>
            <w:rStyle w:val="Hyperlink"/>
          </w:rPr>
          <w:t>agri</w:t>
        </w:r>
        <w:proofErr w:type="spellEnd"/>
        <w:r w:rsidRPr="00C12605">
          <w:rPr>
            <w:rStyle w:val="Hyperlink"/>
          </w:rPr>
          <w:t>-environmental governance in the UK post-</w:t>
        </w:r>
        <w:proofErr w:type="spellStart"/>
        <w:r w:rsidRPr="00C12605">
          <w:rPr>
            <w:rStyle w:val="Hyperlink"/>
          </w:rPr>
          <w:t>Brexit</w:t>
        </w:r>
        <w:proofErr w:type="spellEnd"/>
      </w:hyperlink>
      <w:r w:rsidR="001F5030">
        <w:rPr>
          <w:rStyle w:val="FootnoteReference"/>
          <w:color w:val="0563C1" w:themeColor="hyperlink"/>
          <w:u w:val="single"/>
        </w:rPr>
        <w:footnoteReference w:id="1"/>
      </w:r>
      <w:r>
        <w:t>. The evidence is inform</w:t>
      </w:r>
      <w:bookmarkStart w:id="0" w:name="_GoBack"/>
      <w:bookmarkEnd w:id="0"/>
      <w:r>
        <w:t>ed by the</w:t>
      </w:r>
      <w:r w:rsidR="00C12605">
        <w:t xml:space="preserve"> findings from</w:t>
      </w:r>
      <w:r>
        <w:t xml:space="preserve"> </w:t>
      </w:r>
      <w:r w:rsidR="00C12605">
        <w:t xml:space="preserve">this </w:t>
      </w:r>
      <w:r>
        <w:t>research</w:t>
      </w:r>
      <w:r w:rsidR="00C12605">
        <w:t xml:space="preserve"> grant and a recently completed </w:t>
      </w:r>
      <w:r>
        <w:t>project</w:t>
      </w:r>
      <w:r w:rsidR="0067556A">
        <w:t xml:space="preserve"> on identifying and engaging with ‘harder to reach’ farmers to enhance the inclusivity of ELM</w:t>
      </w:r>
      <w:r>
        <w:t xml:space="preserve"> led by</w:t>
      </w:r>
      <w:r w:rsidR="00C12605">
        <w:t xml:space="preserve"> the University of Sheffield (Little) in collaboration with Reading (Rose)</w:t>
      </w:r>
      <w:r w:rsidR="00636179">
        <w:rPr>
          <w:rStyle w:val="FootnoteReference"/>
        </w:rPr>
        <w:footnoteReference w:id="2"/>
      </w:r>
      <w:r w:rsidR="0067556A">
        <w:t>.</w:t>
      </w:r>
    </w:p>
    <w:p w14:paraId="79FB7E7D" w14:textId="403078EC" w:rsidR="005E1BA6" w:rsidRDefault="005E1BA6"/>
    <w:p w14:paraId="1E9BC4C9" w14:textId="6EB9950F" w:rsidR="005E1BA6" w:rsidRDefault="005E1BA6">
      <w:r>
        <w:t>This evidence concentrates primarily upon the question of how the planned</w:t>
      </w:r>
      <w:r w:rsidRPr="005E1BA6">
        <w:t xml:space="preserve"> Environmental Land Management scheme </w:t>
      </w:r>
      <w:r>
        <w:t xml:space="preserve">can </w:t>
      </w:r>
      <w:r w:rsidRPr="005E1BA6">
        <w:t>maintain and improve biodiversity</w:t>
      </w:r>
      <w:r w:rsidR="00B02D5F">
        <w:t>.</w:t>
      </w:r>
    </w:p>
    <w:p w14:paraId="5420C71E" w14:textId="77777777" w:rsidR="00CE6B2B" w:rsidRDefault="00CE6B2B"/>
    <w:p w14:paraId="1DC2F46E" w14:textId="3BE88C57" w:rsidR="005A6D02" w:rsidRDefault="0051686B" w:rsidP="001355E3">
      <w:pPr>
        <w:pStyle w:val="ListParagraph"/>
        <w:numPr>
          <w:ilvl w:val="0"/>
          <w:numId w:val="2"/>
        </w:numPr>
      </w:pPr>
      <w:r>
        <w:t>It is clear that the options available to land managers under the new Environmental Land Management scheme (ELM) will play a key role in maintaining and improving biodiversity.</w:t>
      </w:r>
      <w:r w:rsidR="00FC5D36">
        <w:t xml:space="preserve"> </w:t>
      </w:r>
      <w:r w:rsidR="00FC61E2">
        <w:t xml:space="preserve">Its successful </w:t>
      </w:r>
      <w:r w:rsidR="00FC5D36">
        <w:t>design is critical</w:t>
      </w:r>
      <w:r w:rsidR="00EE2F28">
        <w:t xml:space="preserve"> as</w:t>
      </w:r>
      <w:r w:rsidR="00D03B78">
        <w:t xml:space="preserve"> </w:t>
      </w:r>
      <w:r w:rsidR="00EE2F28">
        <w:t>m</w:t>
      </w:r>
      <w:r w:rsidR="00FC5D36">
        <w:t xml:space="preserve">aximising buy-in and uptake from landowners will </w:t>
      </w:r>
      <w:r w:rsidR="00CE6B2B">
        <w:t xml:space="preserve">have a profound </w:t>
      </w:r>
      <w:r w:rsidR="00F8546E">
        <w:t>e</w:t>
      </w:r>
      <w:r w:rsidR="00CE6B2B">
        <w:t xml:space="preserve">ffect </w:t>
      </w:r>
      <w:r w:rsidR="0081116E">
        <w:t>upon</w:t>
      </w:r>
      <w:r w:rsidR="00CE6B2B">
        <w:t xml:space="preserve"> efforts to protect biodiversity. </w:t>
      </w:r>
      <w:r w:rsidR="00CB5784" w:rsidRPr="00CB5784">
        <w:rPr>
          <w:rFonts w:ascii="Calibri" w:hAnsi="Calibri" w:cs="Calibri"/>
          <w:shd w:val="clear" w:color="auto" w:fill="FFFFFF"/>
        </w:rPr>
        <w:t xml:space="preserve">The short and longer-term success of the scheme depends upon successful co-design that includes harder </w:t>
      </w:r>
      <w:proofErr w:type="gramStart"/>
      <w:r w:rsidR="00CB5784" w:rsidRPr="00CB5784">
        <w:rPr>
          <w:rFonts w:ascii="Calibri" w:hAnsi="Calibri" w:cs="Calibri"/>
          <w:shd w:val="clear" w:color="auto" w:fill="FFFFFF"/>
        </w:rPr>
        <w:t>to reach</w:t>
      </w:r>
      <w:proofErr w:type="gramEnd"/>
      <w:r w:rsidR="00CB5784" w:rsidRPr="00CB5784">
        <w:rPr>
          <w:rFonts w:ascii="Calibri" w:hAnsi="Calibri" w:cs="Calibri"/>
          <w:shd w:val="clear" w:color="auto" w:fill="FFFFFF"/>
        </w:rPr>
        <w:t xml:space="preserve"> farmers and landowners</w:t>
      </w:r>
      <w:r w:rsidR="005A6D02" w:rsidRPr="00CB5784">
        <w:t>.</w:t>
      </w:r>
      <w:r w:rsidR="00EE2F28" w:rsidRPr="00CB5784">
        <w:t xml:space="preserve"> </w:t>
      </w:r>
    </w:p>
    <w:p w14:paraId="5255E2B6" w14:textId="77777777" w:rsidR="005A6D02" w:rsidRDefault="005A6D02" w:rsidP="00B617E4"/>
    <w:p w14:paraId="3942B59B" w14:textId="66106EE1" w:rsidR="0081116E" w:rsidRDefault="00FC61E2" w:rsidP="001355E3">
      <w:pPr>
        <w:pStyle w:val="ListParagraph"/>
        <w:numPr>
          <w:ilvl w:val="0"/>
          <w:numId w:val="2"/>
        </w:numPr>
      </w:pPr>
      <w:r>
        <w:t>T</w:t>
      </w:r>
      <w:r w:rsidR="003E600D">
        <w:t>he history of the Common Agricultural Policy illustrates only too well</w:t>
      </w:r>
      <w:r>
        <w:t xml:space="preserve"> that</w:t>
      </w:r>
      <w:r w:rsidR="003E600D">
        <w:t xml:space="preserve"> p</w:t>
      </w:r>
      <w:r w:rsidR="00CE6B2B">
        <w:t xml:space="preserve">oorly designed </w:t>
      </w:r>
      <w:r w:rsidR="003E600D">
        <w:t xml:space="preserve">payment </w:t>
      </w:r>
      <w:r w:rsidR="00CE6B2B">
        <w:t xml:space="preserve">schemes </w:t>
      </w:r>
      <w:r w:rsidR="00247D6E">
        <w:t>can</w:t>
      </w:r>
      <w:r w:rsidR="00CE6B2B">
        <w:t xml:space="preserve"> lead to negative and </w:t>
      </w:r>
      <w:r w:rsidR="0081116E">
        <w:t>unintended consequences, such as</w:t>
      </w:r>
      <w:r w:rsidR="003E600D">
        <w:t xml:space="preserve"> </w:t>
      </w:r>
      <w:r w:rsidR="00ED3DDA">
        <w:t xml:space="preserve">unsustainable </w:t>
      </w:r>
      <w:r w:rsidR="003E600D">
        <w:t>intensification</w:t>
      </w:r>
      <w:r w:rsidR="00796A2A">
        <w:t xml:space="preserve"> and</w:t>
      </w:r>
      <w:r w:rsidR="003E600D">
        <w:t xml:space="preserve"> increased pesticide use</w:t>
      </w:r>
      <w:r w:rsidR="00BE6C29">
        <w:t xml:space="preserve">. These </w:t>
      </w:r>
      <w:r w:rsidR="00ED3DDA">
        <w:t xml:space="preserve">can </w:t>
      </w:r>
      <w:r w:rsidR="00BE6C29">
        <w:t>have</w:t>
      </w:r>
      <w:r w:rsidR="003E600D">
        <w:t xml:space="preserve"> negative </w:t>
      </w:r>
      <w:proofErr w:type="spellStart"/>
      <w:r w:rsidR="003E600D">
        <w:t>ecosystemic</w:t>
      </w:r>
      <w:proofErr w:type="spellEnd"/>
      <w:r w:rsidR="003E600D">
        <w:t xml:space="preserve"> impacts that compromise</w:t>
      </w:r>
      <w:r w:rsidR="00967A5C">
        <w:t xml:space="preserve"> soil health</w:t>
      </w:r>
      <w:r w:rsidR="0051686B">
        <w:t xml:space="preserve">, </w:t>
      </w:r>
      <w:r w:rsidR="00967A5C">
        <w:t>longer</w:t>
      </w:r>
      <w:r w:rsidR="000F6D40">
        <w:t>-</w:t>
      </w:r>
      <w:r w:rsidR="00967A5C">
        <w:t>term yields</w:t>
      </w:r>
      <w:r w:rsidR="000F6D40">
        <w:t xml:space="preserve"> (Bateman and </w:t>
      </w:r>
      <w:proofErr w:type="spellStart"/>
      <w:r w:rsidR="000F6D40">
        <w:t>Ba</w:t>
      </w:r>
      <w:r w:rsidR="00A72682">
        <w:t>l</w:t>
      </w:r>
      <w:r w:rsidR="000F6D40">
        <w:t>mford</w:t>
      </w:r>
      <w:proofErr w:type="spellEnd"/>
      <w:r w:rsidR="000F6D40">
        <w:t xml:space="preserve"> 2018; </w:t>
      </w:r>
      <w:proofErr w:type="spellStart"/>
      <w:r w:rsidR="000F6D40">
        <w:t>Pe’er</w:t>
      </w:r>
      <w:proofErr w:type="spellEnd"/>
      <w:r w:rsidR="000F6D40">
        <w:t xml:space="preserve"> et al. 2014</w:t>
      </w:r>
      <w:r w:rsidR="001F5030">
        <w:t>; Stewart et al. 2019</w:t>
      </w:r>
      <w:r w:rsidR="005F0B19">
        <w:t>)</w:t>
      </w:r>
      <w:r w:rsidR="0051686B" w:rsidRPr="0051686B">
        <w:t xml:space="preserve"> </w:t>
      </w:r>
      <w:r w:rsidR="0051686B">
        <w:t>and have led to a dramatic decline in farmland birds (</w:t>
      </w:r>
      <w:proofErr w:type="spellStart"/>
      <w:r w:rsidR="0051686B">
        <w:t>Hayhow</w:t>
      </w:r>
      <w:proofErr w:type="spellEnd"/>
      <w:r w:rsidR="0051686B">
        <w:t xml:space="preserve"> et al. 2017)</w:t>
      </w:r>
      <w:r w:rsidR="00967A5C">
        <w:t>.</w:t>
      </w:r>
      <w:r w:rsidR="003E600D">
        <w:t xml:space="preserve"> </w:t>
      </w:r>
      <w:r w:rsidR="00ED3DDA">
        <w:t>In contrast, w</w:t>
      </w:r>
      <w:r w:rsidR="0081116E">
        <w:t>ell-designed schemes can deliver</w:t>
      </w:r>
      <w:r w:rsidR="00967A5C">
        <w:t xml:space="preserve"> a</w:t>
      </w:r>
      <w:r w:rsidR="0081116E">
        <w:t xml:space="preserve"> range </w:t>
      </w:r>
      <w:r w:rsidR="00967A5C">
        <w:t>of</w:t>
      </w:r>
      <w:r w:rsidR="00247D6E">
        <w:t xml:space="preserve"> environmental, social and economic </w:t>
      </w:r>
      <w:r w:rsidR="00967A5C">
        <w:t>co-benefits, such as enhancing biodiversity, improving yields, and reducing costs</w:t>
      </w:r>
      <w:r w:rsidR="001F5030">
        <w:t xml:space="preserve"> (e.g. see Chaplin et al. 2019)</w:t>
      </w:r>
      <w:r w:rsidR="00967A5C">
        <w:t>.</w:t>
      </w:r>
    </w:p>
    <w:p w14:paraId="4FFE18CD" w14:textId="620A3E79" w:rsidR="00811826" w:rsidRDefault="00811826"/>
    <w:p w14:paraId="1A307F5D" w14:textId="1C5183C3" w:rsidR="00E41C08" w:rsidRDefault="009D1268" w:rsidP="001355E3">
      <w:pPr>
        <w:pStyle w:val="ListParagraph"/>
        <w:numPr>
          <w:ilvl w:val="0"/>
          <w:numId w:val="2"/>
        </w:numPr>
      </w:pPr>
      <w:r>
        <w:t>The e</w:t>
      </w:r>
      <w:r w:rsidR="00811826">
        <w:t>ffective design of ELM relies upon policy being informed by social science that reaches beyond economic analysis to take account of a range of social</w:t>
      </w:r>
      <w:r>
        <w:t xml:space="preserve"> and cultural</w:t>
      </w:r>
      <w:r w:rsidR="00811826">
        <w:t xml:space="preserve"> variables </w:t>
      </w:r>
      <w:r w:rsidR="00B617E4">
        <w:t>that</w:t>
      </w:r>
      <w:r w:rsidR="00811826">
        <w:t xml:space="preserve"> are critical to </w:t>
      </w:r>
      <w:r w:rsidR="00FC61E2">
        <w:t>its</w:t>
      </w:r>
      <w:r>
        <w:t xml:space="preserve"> </w:t>
      </w:r>
      <w:r w:rsidR="00811826">
        <w:t>success. To work effectively</w:t>
      </w:r>
      <w:r>
        <w:t xml:space="preserve">, the </w:t>
      </w:r>
      <w:r w:rsidR="00811826">
        <w:t>scheme rel</w:t>
      </w:r>
      <w:r w:rsidR="00FC61E2">
        <w:t>ies</w:t>
      </w:r>
      <w:r w:rsidR="00811826">
        <w:t xml:space="preserve"> on </w:t>
      </w:r>
      <w:r w:rsidR="00E41C08">
        <w:t>engagement, buy-in and participation</w:t>
      </w:r>
      <w:r w:rsidR="00811826">
        <w:t xml:space="preserve"> so we need to understand the motivations and needs of farmers and land users.</w:t>
      </w:r>
      <w:r w:rsidR="00F8546E">
        <w:t xml:space="preserve"> </w:t>
      </w:r>
      <w:r w:rsidR="00FC61E2">
        <w:t>L</w:t>
      </w:r>
      <w:r w:rsidR="00F8546E">
        <w:t>ow engagement in ELM and low take-up once launched</w:t>
      </w:r>
      <w:r w:rsidR="00FC61E2">
        <w:t xml:space="preserve"> is likely to compromise the </w:t>
      </w:r>
      <w:r w:rsidR="00F8546E">
        <w:t xml:space="preserve">promised benefits to biodiversity and </w:t>
      </w:r>
      <w:r w:rsidR="00FC61E2">
        <w:t xml:space="preserve">the </w:t>
      </w:r>
      <w:r w:rsidR="00F8546E">
        <w:t xml:space="preserve">other public goods </w:t>
      </w:r>
      <w:r w:rsidR="00FC61E2">
        <w:t>of ELM</w:t>
      </w:r>
      <w:r w:rsidR="00F8546E">
        <w:t>.</w:t>
      </w:r>
      <w:r w:rsidR="0060375E">
        <w:t xml:space="preserve"> </w:t>
      </w:r>
    </w:p>
    <w:p w14:paraId="0A47E1ED" w14:textId="77777777" w:rsidR="00E41C08" w:rsidRDefault="00E41C08" w:rsidP="00B617E4">
      <w:pPr>
        <w:pStyle w:val="ListParagraph"/>
      </w:pPr>
    </w:p>
    <w:p w14:paraId="7A9BA394" w14:textId="7C452BF5" w:rsidR="00E41C08" w:rsidRDefault="005348CF" w:rsidP="001355E3">
      <w:pPr>
        <w:pStyle w:val="ListParagraph"/>
        <w:numPr>
          <w:ilvl w:val="0"/>
          <w:numId w:val="2"/>
        </w:numPr>
      </w:pPr>
      <w:r>
        <w:t xml:space="preserve">ELM scheme </w:t>
      </w:r>
      <w:r w:rsidR="00427CEF">
        <w:t>co-</w:t>
      </w:r>
      <w:r>
        <w:t xml:space="preserve">design needs to take account of </w:t>
      </w:r>
      <w:r w:rsidR="00E41C08">
        <w:t>f</w:t>
      </w:r>
      <w:r>
        <w:t xml:space="preserve">armers’ ‘productivist’ identity which may run counter to environmental goals – </w:t>
      </w:r>
      <w:r w:rsidR="009D1268">
        <w:t xml:space="preserve">objectives </w:t>
      </w:r>
      <w:r>
        <w:t xml:space="preserve">such as maximising </w:t>
      </w:r>
      <w:r>
        <w:lastRenderedPageBreak/>
        <w:t>yield, taking pride in maintaining ‘tidy’ fields and boosting productivity can influence farmers’ receptivity to environmental pra</w:t>
      </w:r>
      <w:r w:rsidR="005371B7">
        <w:t>ctices</w:t>
      </w:r>
      <w:r w:rsidR="001F5030">
        <w:t xml:space="preserve"> </w:t>
      </w:r>
      <w:r w:rsidR="009D1268">
        <w:t>(</w:t>
      </w:r>
      <w:r w:rsidR="000C7AB3" w:rsidRPr="001E4419">
        <w:rPr>
          <w:rFonts w:cstheme="minorHAnsi"/>
        </w:rPr>
        <w:t>Riley 2016</w:t>
      </w:r>
      <w:r w:rsidR="000C7AB3">
        <w:rPr>
          <w:rFonts w:cstheme="minorHAnsi"/>
        </w:rPr>
        <w:t xml:space="preserve">; </w:t>
      </w:r>
      <w:r w:rsidR="009D1268" w:rsidRPr="0051686B">
        <w:rPr>
          <w:rFonts w:cstheme="minorHAnsi"/>
        </w:rPr>
        <w:t>Burton, 2012</w:t>
      </w:r>
      <w:r w:rsidR="000C7AB3" w:rsidRPr="0051686B">
        <w:rPr>
          <w:rFonts w:cstheme="minorHAnsi"/>
        </w:rPr>
        <w:t>;</w:t>
      </w:r>
      <w:r w:rsidR="000C7AB3">
        <w:rPr>
          <w:rFonts w:cstheme="minorHAnsi"/>
        </w:rPr>
        <w:t xml:space="preserve"> </w:t>
      </w:r>
      <w:r w:rsidR="000C7AB3" w:rsidRPr="001E4419">
        <w:rPr>
          <w:rFonts w:cstheme="minorHAnsi"/>
        </w:rPr>
        <w:t xml:space="preserve">Sutherland and </w:t>
      </w:r>
      <w:proofErr w:type="spellStart"/>
      <w:r w:rsidR="000C7AB3" w:rsidRPr="001E4419">
        <w:rPr>
          <w:rFonts w:cstheme="minorHAnsi"/>
        </w:rPr>
        <w:t>Darnhofer</w:t>
      </w:r>
      <w:proofErr w:type="spellEnd"/>
      <w:r w:rsidR="000C7AB3" w:rsidRPr="001E4419">
        <w:rPr>
          <w:rFonts w:cstheme="minorHAnsi"/>
        </w:rPr>
        <w:t>, 2012</w:t>
      </w:r>
      <w:r w:rsidR="000C7AB3">
        <w:rPr>
          <w:rFonts w:cstheme="minorHAnsi"/>
        </w:rPr>
        <w:t>; Bu</w:t>
      </w:r>
      <w:r w:rsidR="000C7AB3" w:rsidRPr="00586C62">
        <w:rPr>
          <w:rFonts w:cstheme="minorHAnsi"/>
        </w:rPr>
        <w:t>rton et al. 2008</w:t>
      </w:r>
      <w:r w:rsidR="009D1268">
        <w:t xml:space="preserve">). </w:t>
      </w:r>
      <w:r>
        <w:t xml:space="preserve">Identifying </w:t>
      </w:r>
      <w:r w:rsidR="005371B7">
        <w:t>‘</w:t>
      </w:r>
      <w:r>
        <w:t>win-wins</w:t>
      </w:r>
      <w:r w:rsidR="005371B7">
        <w:t>’</w:t>
      </w:r>
      <w:r>
        <w:t xml:space="preserve"> that deliver production and environmental benefits alongside recognising the importance of producing agronomic a</w:t>
      </w:r>
      <w:r w:rsidR="000C7AB3">
        <w:softHyphen/>
      </w:r>
      <w:r w:rsidR="000C7AB3">
        <w:softHyphen/>
      </w:r>
      <w:r>
        <w:t xml:space="preserve">s well as environmental gains </w:t>
      </w:r>
      <w:r w:rsidR="00967A5C">
        <w:t xml:space="preserve">are </w:t>
      </w:r>
      <w:r w:rsidR="005A6D02">
        <w:t>critical t</w:t>
      </w:r>
      <w:r>
        <w:t xml:space="preserve">o </w:t>
      </w:r>
      <w:r w:rsidR="00120157">
        <w:t>promoting and maintaining buy-in to the scheme</w:t>
      </w:r>
      <w:r w:rsidR="00E41C08">
        <w:t xml:space="preserve">. </w:t>
      </w:r>
    </w:p>
    <w:p w14:paraId="76A781A1" w14:textId="77777777" w:rsidR="00E41C08" w:rsidRDefault="00E41C08" w:rsidP="00B617E4">
      <w:pPr>
        <w:pStyle w:val="ListParagraph"/>
      </w:pPr>
    </w:p>
    <w:p w14:paraId="3E0B852B" w14:textId="318D58CD" w:rsidR="00811826" w:rsidRDefault="00E41C08" w:rsidP="001355E3">
      <w:pPr>
        <w:pStyle w:val="ListParagraph"/>
        <w:numPr>
          <w:ilvl w:val="0"/>
          <w:numId w:val="2"/>
        </w:numPr>
      </w:pPr>
      <w:r>
        <w:t>An effective advisory service with trusted advisors will aid</w:t>
      </w:r>
      <w:r w:rsidR="00120157">
        <w:t xml:space="preserve"> the transition from </w:t>
      </w:r>
      <w:r w:rsidR="003E600D">
        <w:t xml:space="preserve">the </w:t>
      </w:r>
      <w:r w:rsidR="00120157">
        <w:t>B</w:t>
      </w:r>
      <w:r w:rsidR="003E600D">
        <w:t xml:space="preserve">asic </w:t>
      </w:r>
      <w:r w:rsidR="00120157">
        <w:t>P</w:t>
      </w:r>
      <w:r w:rsidR="003E600D">
        <w:t xml:space="preserve">ayment </w:t>
      </w:r>
      <w:r w:rsidR="00120157">
        <w:t>S</w:t>
      </w:r>
      <w:r w:rsidR="003E600D">
        <w:t>cheme (BPS)</w:t>
      </w:r>
      <w:r w:rsidR="00120157">
        <w:t xml:space="preserve"> to ELM – research indicates that tailored, farm-specific advice is important in achieving buy-in and the deliver</w:t>
      </w:r>
      <w:r>
        <w:t>y</w:t>
      </w:r>
      <w:r w:rsidR="00120157">
        <w:t xml:space="preserve"> of en</w:t>
      </w:r>
      <w:r>
        <w:t xml:space="preserve">vironmental </w:t>
      </w:r>
      <w:r w:rsidRPr="001E4419">
        <w:t>benefits</w:t>
      </w:r>
      <w:r w:rsidR="00967A5C" w:rsidRPr="001E4419">
        <w:t xml:space="preserve"> (</w:t>
      </w:r>
      <w:proofErr w:type="spellStart"/>
      <w:r w:rsidR="00B953BD" w:rsidRPr="001E4419">
        <w:t>Klerkx</w:t>
      </w:r>
      <w:proofErr w:type="spellEnd"/>
      <w:r w:rsidR="00B953BD" w:rsidRPr="001E4419">
        <w:t xml:space="preserve"> and Proctor, 2012; Ingram and Morris, 2007</w:t>
      </w:r>
      <w:r w:rsidR="00967A5C" w:rsidRPr="005F0B19">
        <w:t>)</w:t>
      </w:r>
      <w:r w:rsidRPr="005F0B19">
        <w:t>.</w:t>
      </w:r>
      <w:r>
        <w:t xml:space="preserve"> It is important to note that the</w:t>
      </w:r>
      <w:r w:rsidR="00120157">
        <w:t xml:space="preserve"> knowledge, training and </w:t>
      </w:r>
      <w:r>
        <w:t>interpersonal skills</w:t>
      </w:r>
      <w:r w:rsidR="005371B7">
        <w:t xml:space="preserve"> of </w:t>
      </w:r>
      <w:r w:rsidR="001D5EF7">
        <w:t xml:space="preserve">the </w:t>
      </w:r>
      <w:r w:rsidR="005371B7">
        <w:t>advisor are</w:t>
      </w:r>
      <w:r w:rsidR="00120157">
        <w:t xml:space="preserve"> important in building a productive relationship with the landowner.  </w:t>
      </w:r>
    </w:p>
    <w:p w14:paraId="1354C25D" w14:textId="77777777" w:rsidR="0081116E" w:rsidRDefault="0081116E"/>
    <w:p w14:paraId="12DB41E9" w14:textId="59A80676" w:rsidR="00166DDF" w:rsidRDefault="00811826" w:rsidP="00843EB7">
      <w:pPr>
        <w:pStyle w:val="ListParagraph"/>
        <w:numPr>
          <w:ilvl w:val="0"/>
          <w:numId w:val="2"/>
        </w:numPr>
      </w:pPr>
      <w:r>
        <w:t>Farmers</w:t>
      </w:r>
      <w:r w:rsidR="0081116E">
        <w:t xml:space="preserve"> need to be able to identify tangible benefits </w:t>
      </w:r>
      <w:r>
        <w:t>arising from</w:t>
      </w:r>
      <w:r w:rsidR="0081116E">
        <w:t xml:space="preserve"> ELM and for protecting biodiversity, such as the pollination services provided</w:t>
      </w:r>
      <w:r w:rsidR="00F8546E">
        <w:t xml:space="preserve"> by</w:t>
      </w:r>
      <w:r w:rsidR="0081116E">
        <w:t xml:space="preserve"> insects </w:t>
      </w:r>
      <w:r w:rsidR="00F8546E">
        <w:t>and the key role played by biodiversity in promoting soil health</w:t>
      </w:r>
      <w:r w:rsidR="0081116E">
        <w:t xml:space="preserve">. </w:t>
      </w:r>
      <w:r w:rsidR="00F8546E">
        <w:t>F</w:t>
      </w:r>
      <w:r w:rsidR="0081116E">
        <w:t>or th</w:t>
      </w:r>
      <w:r w:rsidR="00F8546E">
        <w:t>e</w:t>
      </w:r>
      <w:r w:rsidR="0081116E">
        <w:t>se benefits to be realised there needs to be buy</w:t>
      </w:r>
      <w:r w:rsidR="001D5EF7">
        <w:t>-</w:t>
      </w:r>
      <w:r w:rsidR="0081116E">
        <w:t>in from a range of fa</w:t>
      </w:r>
      <w:r w:rsidR="005E1BA6">
        <w:t>r</w:t>
      </w:r>
      <w:r w:rsidR="0081116E">
        <w:t>mers as ELM is only as strong as its weakest link</w:t>
      </w:r>
      <w:r w:rsidR="005E1BA6">
        <w:t>. For example,</w:t>
      </w:r>
      <w:r w:rsidR="0081116E">
        <w:t xml:space="preserve"> within a catchment one farm can do enormous damage that can undo the good work of others</w:t>
      </w:r>
      <w:r w:rsidR="00F8546E">
        <w:t xml:space="preserve"> (e.g. one farmer polluting a river upstream will undo good management downstream)</w:t>
      </w:r>
      <w:r w:rsidR="0081116E">
        <w:t xml:space="preserve">. There consequently needs to be a way to engage and reach all land users and to encourage collaboration </w:t>
      </w:r>
      <w:r w:rsidR="002936AE">
        <w:t xml:space="preserve">between </w:t>
      </w:r>
      <w:r w:rsidR="0081116E">
        <w:t>farmers at the landscape scale.</w:t>
      </w:r>
      <w:r w:rsidR="00843EB7">
        <w:t xml:space="preserve"> A</w:t>
      </w:r>
      <w:r w:rsidR="00843EB7" w:rsidRPr="00843EB7">
        <w:t>dvice, knowledge exchange, farm visi</w:t>
      </w:r>
      <w:r w:rsidR="00843EB7">
        <w:t xml:space="preserve">ts and demonstration farms </w:t>
      </w:r>
      <w:r w:rsidR="005F0B19">
        <w:t xml:space="preserve">will also play an important </w:t>
      </w:r>
      <w:r w:rsidR="00843EB7">
        <w:t>role in</w:t>
      </w:r>
      <w:r w:rsidR="00843EB7" w:rsidRPr="00843EB7">
        <w:t xml:space="preserve"> helping farmers</w:t>
      </w:r>
      <w:r w:rsidR="00843EB7">
        <w:t xml:space="preserve"> to share</w:t>
      </w:r>
      <w:r w:rsidR="00843EB7" w:rsidRPr="00843EB7">
        <w:t xml:space="preserve"> learn</w:t>
      </w:r>
      <w:r w:rsidR="00843EB7">
        <w:t>ing</w:t>
      </w:r>
      <w:r w:rsidR="00843EB7" w:rsidRPr="00843EB7">
        <w:t xml:space="preserve"> about farming practices that </w:t>
      </w:r>
      <w:r w:rsidR="00843EB7">
        <w:t>foster the achievement of</w:t>
      </w:r>
      <w:r w:rsidR="00843EB7" w:rsidRPr="00843EB7">
        <w:t xml:space="preserve"> biodiversity goals</w:t>
      </w:r>
      <w:r w:rsidR="005F0B19">
        <w:t xml:space="preserve"> (Fry and </w:t>
      </w:r>
      <w:proofErr w:type="spellStart"/>
      <w:r w:rsidR="005F0B19">
        <w:t>Thieme</w:t>
      </w:r>
      <w:proofErr w:type="spellEnd"/>
      <w:r w:rsidR="005F0B19">
        <w:t xml:space="preserve">, 2019; </w:t>
      </w:r>
      <w:proofErr w:type="spellStart"/>
      <w:r w:rsidR="00BF03F8">
        <w:t>Krzywoszynska</w:t>
      </w:r>
      <w:proofErr w:type="spellEnd"/>
      <w:r w:rsidR="00BF03F8">
        <w:t>, 2019)</w:t>
      </w:r>
      <w:r w:rsidR="00843EB7" w:rsidRPr="00843EB7">
        <w:t>.</w:t>
      </w:r>
    </w:p>
    <w:p w14:paraId="6440FD08" w14:textId="2C37F958" w:rsidR="005E1BA6" w:rsidRDefault="005E1BA6"/>
    <w:p w14:paraId="7A656BD9" w14:textId="1B8F467C" w:rsidR="005E1BA6" w:rsidRDefault="005E1BA6" w:rsidP="001355E3">
      <w:pPr>
        <w:pStyle w:val="ListParagraph"/>
        <w:numPr>
          <w:ilvl w:val="0"/>
          <w:numId w:val="2"/>
        </w:numPr>
      </w:pPr>
      <w:r>
        <w:t>One key foundational building block for establishing an effective ELM</w:t>
      </w:r>
      <w:r w:rsidR="001D5EF7">
        <w:t xml:space="preserve"> scheme</w:t>
      </w:r>
      <w:r>
        <w:t xml:space="preserve"> is co-design of policy with farmers and land-users so that policy reflects their needs and they feel a stake in the successful operation of the scheme. However, whilst co</w:t>
      </w:r>
      <w:r w:rsidR="00172FF1">
        <w:t>-</w:t>
      </w:r>
      <w:r>
        <w:t>design is identified as</w:t>
      </w:r>
      <w:r w:rsidR="00ED3DDA">
        <w:t xml:space="preserve"> a</w:t>
      </w:r>
      <w:r>
        <w:t xml:space="preserve"> central plank for future policy in the Agriculture Bill</w:t>
      </w:r>
      <w:r w:rsidR="00427CEF">
        <w:t>,</w:t>
      </w:r>
      <w:r>
        <w:t xml:space="preserve"> it is a concept that remain</w:t>
      </w:r>
      <w:r w:rsidR="00F8546E">
        <w:t>s</w:t>
      </w:r>
      <w:r>
        <w:t xml:space="preserve"> underdeveloped both in the literature and in practice</w:t>
      </w:r>
      <w:r w:rsidR="00427CEF">
        <w:t xml:space="preserve"> and definitions and understandings of it can vary widely depending on the contexts in which they are used </w:t>
      </w:r>
      <w:r w:rsidR="001F5030">
        <w:t>(Hurley et al. 2020</w:t>
      </w:r>
      <w:r w:rsidR="00403EE4">
        <w:t>a</w:t>
      </w:r>
      <w:r w:rsidR="00427CEF">
        <w:t>; Tsouvalis and Little, 2019</w:t>
      </w:r>
      <w:r w:rsidR="001355E3">
        <w:t>).</w:t>
      </w:r>
      <w:r w:rsidR="00971CBE">
        <w:t xml:space="preserve"> Successful co-design relies on trust,</w:t>
      </w:r>
      <w:r w:rsidR="005371B7">
        <w:t xml:space="preserve"> </w:t>
      </w:r>
      <w:r w:rsidR="00971CBE">
        <w:t xml:space="preserve">sharing of decision-making power between stakeholders from the start, inclusion of the full range of affected stakeholders, good facilitation, </w:t>
      </w:r>
      <w:r w:rsidR="005371B7">
        <w:t xml:space="preserve">transparency of process and </w:t>
      </w:r>
      <w:r w:rsidR="000C0253">
        <w:t xml:space="preserve">an </w:t>
      </w:r>
      <w:r w:rsidR="005371B7">
        <w:t xml:space="preserve">understanding of how decisions have been reached </w:t>
      </w:r>
      <w:r w:rsidR="00971CBE">
        <w:t xml:space="preserve">and a process of listening and learning. </w:t>
      </w:r>
    </w:p>
    <w:p w14:paraId="4B073139" w14:textId="6DF82E52" w:rsidR="005E1BA6" w:rsidRDefault="005E1BA6"/>
    <w:p w14:paraId="77D18410" w14:textId="3875930A" w:rsidR="00BE0D45" w:rsidRDefault="005E1BA6" w:rsidP="00BE0D45">
      <w:pPr>
        <w:pStyle w:val="ListParagraph"/>
        <w:numPr>
          <w:ilvl w:val="0"/>
          <w:numId w:val="2"/>
        </w:numPr>
      </w:pPr>
      <w:r>
        <w:t>Our research</w:t>
      </w:r>
      <w:r w:rsidR="00F8546E">
        <w:t xml:space="preserve"> highlights the importance of reaching beyond the ‘usual suspects’ in co-designing ELM. These usual suspects (e.g. NFU, RSPB, CLA, Nature Friendly Farming Network) do need to be involved, but if other land managers (less engaged farmers, foresters, gamekeepers, landowners </w:t>
      </w:r>
      <w:r w:rsidR="00790513">
        <w:t>etc.</w:t>
      </w:r>
      <w:r w:rsidR="00F8546E">
        <w:t>) are</w:t>
      </w:r>
      <w:r w:rsidR="00790513">
        <w:t xml:space="preserve"> not included in </w:t>
      </w:r>
      <w:r w:rsidR="00F8546E">
        <w:t xml:space="preserve">scheme design, then </w:t>
      </w:r>
      <w:r w:rsidR="00967A5C">
        <w:t xml:space="preserve">the ELM </w:t>
      </w:r>
      <w:r w:rsidR="00741A90">
        <w:t xml:space="preserve">scheme </w:t>
      </w:r>
      <w:r w:rsidR="00967A5C">
        <w:t xml:space="preserve">may fail to </w:t>
      </w:r>
      <w:r w:rsidR="00790513">
        <w:t>understand</w:t>
      </w:r>
      <w:r w:rsidR="00967A5C">
        <w:t xml:space="preserve"> the needs of these communities leading to disengagement and limited success.</w:t>
      </w:r>
      <w:r w:rsidR="00F8546E">
        <w:t xml:space="preserve"> </w:t>
      </w:r>
    </w:p>
    <w:p w14:paraId="6447F252" w14:textId="77777777" w:rsidR="00F8546E" w:rsidRDefault="00F8546E" w:rsidP="00B617E4">
      <w:pPr>
        <w:pStyle w:val="ListParagraph"/>
      </w:pPr>
    </w:p>
    <w:p w14:paraId="3C876CD0" w14:textId="5F3F42B5" w:rsidR="005A6D02" w:rsidRDefault="00F8546E" w:rsidP="005A6D02">
      <w:pPr>
        <w:pStyle w:val="ListParagraph"/>
        <w:numPr>
          <w:ilvl w:val="0"/>
          <w:numId w:val="2"/>
        </w:numPr>
      </w:pPr>
      <w:r>
        <w:lastRenderedPageBreak/>
        <w:t>Our research show</w:t>
      </w:r>
      <w:r w:rsidR="005A6D02">
        <w:t>s</w:t>
      </w:r>
      <w:r>
        <w:t xml:space="preserve"> that there are many type</w:t>
      </w:r>
      <w:r w:rsidR="007138DF">
        <w:t>s of land manager who might be h</w:t>
      </w:r>
      <w:r>
        <w:t>arder-to-reach in the context of ELM. Reasons for this include a digital divide due to poor rural connectivity (restricting engagement with online consultation exercises and digital</w:t>
      </w:r>
      <w:r w:rsidR="00741A90">
        <w:t>-</w:t>
      </w:r>
      <w:r>
        <w:t>by</w:t>
      </w:r>
      <w:r w:rsidR="00741A90">
        <w:t>-</w:t>
      </w:r>
      <w:r>
        <w:t xml:space="preserve">default </w:t>
      </w:r>
      <w:proofErr w:type="spellStart"/>
      <w:r>
        <w:t>agri</w:t>
      </w:r>
      <w:proofErr w:type="spellEnd"/>
      <w:r>
        <w:t xml:space="preserve">-environment schemes) with some farmers ‘having to drive to McDonalds to access </w:t>
      </w:r>
      <w:proofErr w:type="spellStart"/>
      <w:r>
        <w:t>wi-fi</w:t>
      </w:r>
      <w:proofErr w:type="spellEnd"/>
      <w:r>
        <w:t>’</w:t>
      </w:r>
      <w:r w:rsidR="00ED3DDA">
        <w:rPr>
          <w:rStyle w:val="FootnoteReference"/>
        </w:rPr>
        <w:footnoteReference w:id="3"/>
      </w:r>
      <w:r>
        <w:t xml:space="preserve">. </w:t>
      </w:r>
      <w:r w:rsidR="00971CBE">
        <w:t xml:space="preserve">Other key reasons include lack of trust of Defra due to past experiences; </w:t>
      </w:r>
      <w:r w:rsidR="00741A90">
        <w:t>excessive</w:t>
      </w:r>
      <w:r w:rsidR="00971CBE">
        <w:t xml:space="preserve"> scheme bureaucracy; lack of obvious benefits to engagement; and a lack of time</w:t>
      </w:r>
      <w:r w:rsidR="005A6D02">
        <w:t xml:space="preserve"> (</w:t>
      </w:r>
      <w:r w:rsidR="00403EE4">
        <w:t>Hurley et.al. 2020a and 2020b; Lyon et.al. 2020</w:t>
      </w:r>
      <w:r w:rsidR="005A6D02">
        <w:t>)</w:t>
      </w:r>
      <w:r w:rsidR="00403EE4">
        <w:t>.</w:t>
      </w:r>
    </w:p>
    <w:p w14:paraId="1961A5DC" w14:textId="77777777" w:rsidR="00BE0D45" w:rsidRPr="00B617E4" w:rsidRDefault="00BE0D45" w:rsidP="005A6D02">
      <w:pPr>
        <w:ind w:left="709"/>
        <w:rPr>
          <w:b/>
          <w:bCs/>
        </w:rPr>
      </w:pPr>
    </w:p>
    <w:p w14:paraId="1F4D87D3" w14:textId="6033302D" w:rsidR="00811826" w:rsidRDefault="00BE0D45" w:rsidP="00636179">
      <w:r w:rsidRPr="00B617E4">
        <w:rPr>
          <w:b/>
          <w:bCs/>
        </w:rPr>
        <w:t>Recommendations</w:t>
      </w:r>
      <w:r>
        <w:t>:</w:t>
      </w:r>
    </w:p>
    <w:p w14:paraId="197BCED2" w14:textId="77777777" w:rsidR="00811826" w:rsidRDefault="00811826"/>
    <w:p w14:paraId="517509CB" w14:textId="4DC26B80" w:rsidR="005A6D02" w:rsidRDefault="005A6D02">
      <w:pPr>
        <w:pStyle w:val="ListParagraph"/>
        <w:numPr>
          <w:ilvl w:val="0"/>
          <w:numId w:val="2"/>
        </w:numPr>
        <w:jc w:val="both"/>
      </w:pPr>
      <w:r>
        <w:t xml:space="preserve">Successful ELM </w:t>
      </w:r>
      <w:r w:rsidR="00741A90">
        <w:t>co-</w:t>
      </w:r>
      <w:r>
        <w:t>design that can enhance biodiversity should:</w:t>
      </w:r>
      <w:r w:rsidR="005371B7">
        <w:t xml:space="preserve"> (a) tak</w:t>
      </w:r>
      <w:r>
        <w:t>e</w:t>
      </w:r>
      <w:r w:rsidR="005371B7">
        <w:t xml:space="preserve"> account of the existing motivations and priorities of landowners (i.e. starting where they are) and identifying agronomic-environmental ‘win-wins’ to encourage early buy-in to ELM; (b) effectively apply principles and practices of co-design</w:t>
      </w:r>
      <w:r w:rsidR="003362D0">
        <w:t>, focusing on trust and transparency</w:t>
      </w:r>
      <w:r w:rsidR="005371B7">
        <w:t xml:space="preserve"> of the process and outcomes</w:t>
      </w:r>
      <w:r w:rsidR="003362D0">
        <w:t>;</w:t>
      </w:r>
      <w:r w:rsidR="005371B7">
        <w:t xml:space="preserve"> </w:t>
      </w:r>
      <w:r w:rsidR="00971CBE">
        <w:t>(</w:t>
      </w:r>
      <w:r w:rsidR="003362D0">
        <w:t>c</w:t>
      </w:r>
      <w:r w:rsidR="00971CBE">
        <w:t xml:space="preserve">) reach out beyond the usual suspects to include </w:t>
      </w:r>
      <w:r w:rsidR="00741A90">
        <w:t>harder to reach</w:t>
      </w:r>
      <w:r w:rsidR="00971CBE">
        <w:t xml:space="preserve"> stakeholders in ELM</w:t>
      </w:r>
      <w:r w:rsidR="00FC59D3">
        <w:t>; (d) make provision for biodiversity-tailored advice, farm visits, demonstration farms, and other knowledge-exchange activities that will support the achievement of biodiversity goals</w:t>
      </w:r>
      <w:r w:rsidR="00FF665C">
        <w:t>.</w:t>
      </w:r>
    </w:p>
    <w:p w14:paraId="3C9D1281" w14:textId="77777777" w:rsidR="005A6D02" w:rsidRDefault="005A6D02" w:rsidP="00B617E4">
      <w:pPr>
        <w:pStyle w:val="ListParagraph"/>
        <w:ind w:left="1069"/>
        <w:jc w:val="both"/>
      </w:pPr>
    </w:p>
    <w:p w14:paraId="28A1F1DC" w14:textId="2996046E" w:rsidR="003E600D" w:rsidRDefault="00971CBE">
      <w:pPr>
        <w:pStyle w:val="ListParagraph"/>
        <w:numPr>
          <w:ilvl w:val="0"/>
          <w:numId w:val="2"/>
        </w:numPr>
        <w:jc w:val="both"/>
      </w:pPr>
      <w:r>
        <w:t xml:space="preserve">ELM engagement exercises </w:t>
      </w:r>
      <w:r w:rsidR="003E600D">
        <w:t xml:space="preserve">should take place </w:t>
      </w:r>
      <w:r>
        <w:t xml:space="preserve">in </w:t>
      </w:r>
      <w:r w:rsidR="003E600D">
        <w:t>locales</w:t>
      </w:r>
      <w:r>
        <w:t xml:space="preserve"> and at times that suit farmers; provide simple, free</w:t>
      </w:r>
      <w:r w:rsidR="00741A90">
        <w:t xml:space="preserve"> and</w:t>
      </w:r>
      <w:r>
        <w:t xml:space="preserve"> accessible advice</w:t>
      </w:r>
      <w:r w:rsidR="00741A90">
        <w:t>;</w:t>
      </w:r>
      <w:r>
        <w:t xml:space="preserve"> engage land managers through trusted intermediaries; invest in rural connectivity, digital skills, and provide options for those </w:t>
      </w:r>
      <w:r w:rsidR="00741A90">
        <w:t xml:space="preserve">without </w:t>
      </w:r>
      <w:r>
        <w:t>online</w:t>
      </w:r>
      <w:r w:rsidR="00741A90">
        <w:t xml:space="preserve"> access</w:t>
      </w:r>
      <w:r>
        <w:t>; pay land managers on time once ELM starts; ensure that ELM benefits a range of land managers</w:t>
      </w:r>
      <w:r w:rsidR="00741A90">
        <w:t xml:space="preserve">; provide attractive incentives </w:t>
      </w:r>
      <w:r>
        <w:t xml:space="preserve">to participate; provide assistance for land managers to transition away from the Basic Payment Scheme towards ELM. </w:t>
      </w:r>
    </w:p>
    <w:p w14:paraId="1BCA4113" w14:textId="77777777" w:rsidR="003E600D" w:rsidRDefault="003E600D" w:rsidP="00B617E4">
      <w:pPr>
        <w:pStyle w:val="ListParagraph"/>
        <w:ind w:left="1069"/>
        <w:jc w:val="both"/>
      </w:pPr>
    </w:p>
    <w:p w14:paraId="1C257DF2" w14:textId="18EEFB2A" w:rsidR="00971CBE" w:rsidRDefault="003E600D" w:rsidP="00B617E4">
      <w:pPr>
        <w:pStyle w:val="ListParagraph"/>
        <w:numPr>
          <w:ilvl w:val="0"/>
          <w:numId w:val="2"/>
        </w:numPr>
        <w:jc w:val="both"/>
      </w:pPr>
      <w:r>
        <w:t>Determining the success of the scheme will rely upon effective and robust monitoring. D</w:t>
      </w:r>
      <w:r w:rsidR="0060375E">
        <w:t>istributional analysis should be conducted to ascertain the social, economic and ecological outcomes of (non</w:t>
      </w:r>
      <w:r w:rsidR="007138DF">
        <w:t>-</w:t>
      </w:r>
      <w:r w:rsidR="0060375E">
        <w:t xml:space="preserve">)participation across different areas of the country.  </w:t>
      </w:r>
    </w:p>
    <w:p w14:paraId="5F433582" w14:textId="54C5A31D" w:rsidR="005E1BA6" w:rsidRDefault="005E1BA6"/>
    <w:p w14:paraId="3D0F67E0" w14:textId="01BE4532" w:rsidR="00967A5C" w:rsidRDefault="00BE0D45">
      <w:r w:rsidRPr="00B617E4">
        <w:rPr>
          <w:b/>
          <w:bCs/>
        </w:rPr>
        <w:t>Conclusion</w:t>
      </w:r>
      <w:r>
        <w:t>:</w:t>
      </w:r>
    </w:p>
    <w:p w14:paraId="0D59DE25" w14:textId="4BABECC9" w:rsidR="00BE0D45" w:rsidRDefault="00BE0D45"/>
    <w:p w14:paraId="60DE39E8" w14:textId="6CBC1477" w:rsidR="00BE0D45" w:rsidRDefault="00BE0D45" w:rsidP="00B617E4">
      <w:pPr>
        <w:pStyle w:val="ListParagraph"/>
        <w:numPr>
          <w:ilvl w:val="0"/>
          <w:numId w:val="2"/>
        </w:numPr>
      </w:pPr>
      <w:r>
        <w:t>Delivering on the UK’s biodiversity targets requires a well-designed envir</w:t>
      </w:r>
      <w:r w:rsidR="00B617E4">
        <w:t>on</w:t>
      </w:r>
      <w:r>
        <w:t>men</w:t>
      </w:r>
      <w:r w:rsidR="00B617E4">
        <w:t>t</w:t>
      </w:r>
      <w:r>
        <w:t>al land management payment scheme that engages farmer</w:t>
      </w:r>
      <w:r w:rsidR="007138DF">
        <w:t>s</w:t>
      </w:r>
      <w:r>
        <w:t xml:space="preserve"> and landowners so that the</w:t>
      </w:r>
      <w:r w:rsidR="00E15E21">
        <w:t>y</w:t>
      </w:r>
      <w:r>
        <w:t xml:space="preserve"> can realise the </w:t>
      </w:r>
      <w:r w:rsidR="007138DF">
        <w:t>objectives</w:t>
      </w:r>
      <w:r>
        <w:t xml:space="preserve"> of the new scheme. Effective co-design and wide</w:t>
      </w:r>
      <w:r w:rsidR="00B617E4">
        <w:t>s</w:t>
      </w:r>
      <w:r>
        <w:t>pread en</w:t>
      </w:r>
      <w:r w:rsidR="00B617E4">
        <w:t>g</w:t>
      </w:r>
      <w:r>
        <w:t>agement and participation are central to the successful delivery of the scheme, which is in turn a key foundation to the successful enhancement of biodiversity.</w:t>
      </w:r>
    </w:p>
    <w:p w14:paraId="353BBD16" w14:textId="77777777" w:rsidR="00BE0D45" w:rsidRDefault="00BE0D45"/>
    <w:p w14:paraId="1DA7AF77" w14:textId="11A27A3A" w:rsidR="00BE0D45" w:rsidRPr="00A72682" w:rsidRDefault="00B617E4" w:rsidP="00A72682">
      <w:r w:rsidRPr="001F5030">
        <w:rPr>
          <w:b/>
          <w:bCs/>
        </w:rPr>
        <w:lastRenderedPageBreak/>
        <w:t>References</w:t>
      </w:r>
      <w:r w:rsidRPr="00A72682">
        <w:t xml:space="preserve">:  </w:t>
      </w:r>
    </w:p>
    <w:p w14:paraId="2137BB0B" w14:textId="720F62C5" w:rsidR="000F6D40" w:rsidRPr="00A72682" w:rsidRDefault="000F6D40" w:rsidP="00A72682"/>
    <w:p w14:paraId="40703448" w14:textId="7A30F745" w:rsidR="007138DF" w:rsidRDefault="000F6D40" w:rsidP="001E4419">
      <w:r w:rsidRPr="00A72682">
        <w:t xml:space="preserve">Bateman, I. J. </w:t>
      </w:r>
      <w:r w:rsidR="007138DF">
        <w:t>and</w:t>
      </w:r>
      <w:r w:rsidRPr="00A72682">
        <w:t> </w:t>
      </w:r>
      <w:proofErr w:type="spellStart"/>
      <w:r w:rsidRPr="00A72682">
        <w:t>Balmford</w:t>
      </w:r>
      <w:proofErr w:type="spellEnd"/>
      <w:r w:rsidRPr="00A72682">
        <w:t>, B. (2018). Public funding for public goods: A post‐</w:t>
      </w:r>
      <w:proofErr w:type="spellStart"/>
      <w:r w:rsidRPr="00A72682">
        <w:t>Brexit</w:t>
      </w:r>
      <w:proofErr w:type="spellEnd"/>
      <w:r w:rsidRPr="00A72682">
        <w:t xml:space="preserve"> perspective on principles for agricultural policy. </w:t>
      </w:r>
      <w:r w:rsidRPr="00A72682">
        <w:rPr>
          <w:i/>
          <w:iCs/>
        </w:rPr>
        <w:t>Land Use</w:t>
      </w:r>
      <w:r w:rsidR="007138DF">
        <w:rPr>
          <w:i/>
          <w:iCs/>
        </w:rPr>
        <w:t xml:space="preserve"> </w:t>
      </w:r>
      <w:r w:rsidR="00A72682" w:rsidRPr="00A72682">
        <w:rPr>
          <w:i/>
          <w:iCs/>
        </w:rPr>
        <w:t>P</w:t>
      </w:r>
      <w:r w:rsidRPr="00A72682">
        <w:rPr>
          <w:i/>
          <w:iCs/>
        </w:rPr>
        <w:t>olicy</w:t>
      </w:r>
      <w:r w:rsidR="007138DF">
        <w:t>, 79:293– 300</w:t>
      </w:r>
    </w:p>
    <w:p w14:paraId="7B2019DC" w14:textId="2B928A3F" w:rsidR="000C7AB3" w:rsidRDefault="00145EC5" w:rsidP="001E4419">
      <w:pPr>
        <w:rPr>
          <w:rStyle w:val="Hyperlink"/>
        </w:rPr>
      </w:pPr>
      <w:hyperlink r:id="rId9" w:history="1">
        <w:r w:rsidR="000F6D40" w:rsidRPr="00A72682">
          <w:rPr>
            <w:rStyle w:val="Hyperlink"/>
          </w:rPr>
          <w:t>https://doi.org/10.1016/j.landusepol.2018.08.022</w:t>
        </w:r>
      </w:hyperlink>
    </w:p>
    <w:p w14:paraId="5351758A" w14:textId="77777777" w:rsidR="000C7AB3" w:rsidRDefault="000C7AB3" w:rsidP="001E4419">
      <w:pPr>
        <w:rPr>
          <w:rStyle w:val="Hyperlink"/>
        </w:rPr>
      </w:pPr>
    </w:p>
    <w:p w14:paraId="23BA7438" w14:textId="34D0D7BC" w:rsidR="007B4181" w:rsidRDefault="000C7AB3" w:rsidP="001E4419">
      <w:pPr>
        <w:rPr>
          <w:rFonts w:eastAsia="Scala-Bold" w:cstheme="minorHAnsi"/>
          <w:bCs/>
        </w:rPr>
      </w:pPr>
      <w:r w:rsidRPr="001E4419">
        <w:rPr>
          <w:rFonts w:eastAsia="AdvGulliv-R" w:cstheme="minorHAnsi"/>
        </w:rPr>
        <w:t xml:space="preserve">Burton, R. J. F. </w:t>
      </w:r>
      <w:r>
        <w:rPr>
          <w:rFonts w:eastAsia="AdvGulliv-R" w:cstheme="minorHAnsi"/>
        </w:rPr>
        <w:t>(</w:t>
      </w:r>
      <w:r w:rsidRPr="001E4419">
        <w:rPr>
          <w:rFonts w:eastAsia="AdvGulliv-R" w:cstheme="minorHAnsi"/>
        </w:rPr>
        <w:t>2006</w:t>
      </w:r>
      <w:r>
        <w:rPr>
          <w:rFonts w:eastAsia="AdvGulliv-R" w:cstheme="minorHAnsi"/>
        </w:rPr>
        <w:t>)</w:t>
      </w:r>
      <w:r w:rsidRPr="001E4419">
        <w:rPr>
          <w:rFonts w:eastAsia="AdvGulliv-R" w:cstheme="minorHAnsi"/>
        </w:rPr>
        <w:t xml:space="preserve">. </w:t>
      </w:r>
      <w:r w:rsidR="007138DF">
        <w:rPr>
          <w:rFonts w:eastAsia="Scala-Bold" w:cstheme="minorHAnsi"/>
          <w:bCs/>
        </w:rPr>
        <w:t>Seeing through the ‘good farmer’s’ eyes: Towards developing an u</w:t>
      </w:r>
      <w:r w:rsidRPr="001E4419">
        <w:rPr>
          <w:rFonts w:eastAsia="Scala-Bold" w:cstheme="minorHAnsi"/>
          <w:bCs/>
        </w:rPr>
        <w:t xml:space="preserve">nderstanding of the </w:t>
      </w:r>
      <w:r w:rsidR="007138DF">
        <w:rPr>
          <w:rFonts w:eastAsia="Scala-Bold" w:cstheme="minorHAnsi"/>
          <w:bCs/>
        </w:rPr>
        <w:t>s</w:t>
      </w:r>
      <w:r w:rsidRPr="001E4419">
        <w:rPr>
          <w:rFonts w:eastAsia="Scala-Bold" w:cstheme="minorHAnsi"/>
          <w:bCs/>
        </w:rPr>
        <w:t xml:space="preserve">ocial </w:t>
      </w:r>
      <w:r w:rsidR="007138DF">
        <w:rPr>
          <w:rFonts w:eastAsia="Scala-Bold" w:cstheme="minorHAnsi"/>
          <w:bCs/>
        </w:rPr>
        <w:t>s</w:t>
      </w:r>
      <w:r w:rsidRPr="001E4419">
        <w:rPr>
          <w:rFonts w:eastAsia="Scala-Bold" w:cstheme="minorHAnsi"/>
          <w:bCs/>
        </w:rPr>
        <w:t xml:space="preserve">ymbolic </w:t>
      </w:r>
      <w:r w:rsidR="007138DF">
        <w:rPr>
          <w:rFonts w:eastAsia="Scala-Bold" w:cstheme="minorHAnsi"/>
          <w:bCs/>
        </w:rPr>
        <w:t>value of ‘p</w:t>
      </w:r>
      <w:r w:rsidRPr="001E4419">
        <w:rPr>
          <w:rFonts w:eastAsia="Scala-Bold" w:cstheme="minorHAnsi"/>
          <w:bCs/>
        </w:rPr>
        <w:t xml:space="preserve">roductivist’ </w:t>
      </w:r>
      <w:r w:rsidR="007138DF">
        <w:rPr>
          <w:rFonts w:eastAsia="Scala-Bold" w:cstheme="minorHAnsi"/>
          <w:bCs/>
        </w:rPr>
        <w:t>b</w:t>
      </w:r>
      <w:r w:rsidRPr="001E4419">
        <w:rPr>
          <w:rFonts w:eastAsia="Scala-Bold" w:cstheme="minorHAnsi"/>
          <w:bCs/>
        </w:rPr>
        <w:t xml:space="preserve">ehaviour. </w:t>
      </w:r>
      <w:proofErr w:type="spellStart"/>
      <w:r w:rsidRPr="001E4419">
        <w:rPr>
          <w:rFonts w:eastAsia="Scala-Bold" w:cstheme="minorHAnsi"/>
          <w:bCs/>
          <w:i/>
        </w:rPr>
        <w:t>Sociologia</w:t>
      </w:r>
      <w:proofErr w:type="spellEnd"/>
      <w:r w:rsidRPr="001E4419">
        <w:rPr>
          <w:rFonts w:eastAsia="Scala-Bold" w:cstheme="minorHAnsi"/>
          <w:bCs/>
          <w:i/>
        </w:rPr>
        <w:t xml:space="preserve"> </w:t>
      </w:r>
      <w:proofErr w:type="spellStart"/>
      <w:r w:rsidRPr="001E4419">
        <w:rPr>
          <w:rFonts w:eastAsia="Scala-Bold" w:cstheme="minorHAnsi"/>
          <w:bCs/>
          <w:i/>
        </w:rPr>
        <w:t>Ruralis</w:t>
      </w:r>
      <w:proofErr w:type="spellEnd"/>
      <w:r w:rsidRPr="001E4419">
        <w:rPr>
          <w:rFonts w:eastAsia="Scala-Bold" w:cstheme="minorHAnsi"/>
          <w:bCs/>
          <w:i/>
        </w:rPr>
        <w:t xml:space="preserve"> </w:t>
      </w:r>
      <w:r w:rsidRPr="001E4419">
        <w:rPr>
          <w:rFonts w:eastAsia="Scala-Bold" w:cstheme="minorHAnsi"/>
          <w:bCs/>
        </w:rPr>
        <w:t>44 2</w:t>
      </w:r>
      <w:r w:rsidR="007138DF">
        <w:rPr>
          <w:rFonts w:eastAsia="Scala-Bold" w:cstheme="minorHAnsi"/>
          <w:bCs/>
        </w:rPr>
        <w:t>:</w:t>
      </w:r>
      <w:r w:rsidRPr="001E4419">
        <w:rPr>
          <w:rFonts w:eastAsia="Scala-Bold" w:cstheme="minorHAnsi"/>
          <w:bCs/>
        </w:rPr>
        <w:t>195-215</w:t>
      </w:r>
    </w:p>
    <w:p w14:paraId="58E903AD" w14:textId="77777777" w:rsidR="007B4181" w:rsidRDefault="007B4181" w:rsidP="001E4419">
      <w:pPr>
        <w:rPr>
          <w:rFonts w:eastAsia="Scala-Bold" w:cstheme="minorHAnsi"/>
          <w:bCs/>
        </w:rPr>
      </w:pPr>
    </w:p>
    <w:p w14:paraId="3D7499D4" w14:textId="2B30CCFF" w:rsidR="000C7AB3" w:rsidRPr="001E4419" w:rsidRDefault="000C7AB3" w:rsidP="001E4419">
      <w:pPr>
        <w:rPr>
          <w:rFonts w:eastAsia="AdvGulliv-R" w:cstheme="minorHAnsi"/>
        </w:rPr>
      </w:pPr>
      <w:r w:rsidRPr="001E4419">
        <w:rPr>
          <w:rFonts w:eastAsia="Scala-Regular" w:cstheme="minorHAnsi"/>
        </w:rPr>
        <w:t xml:space="preserve">Burton, R.J.F., </w:t>
      </w:r>
      <w:proofErr w:type="spellStart"/>
      <w:r w:rsidRPr="001E4419">
        <w:rPr>
          <w:rFonts w:eastAsia="Scala-Regular" w:cstheme="minorHAnsi"/>
        </w:rPr>
        <w:t>Kuczera</w:t>
      </w:r>
      <w:proofErr w:type="spellEnd"/>
      <w:r w:rsidR="007B4181">
        <w:rPr>
          <w:rFonts w:eastAsia="Scala-Regular" w:cstheme="minorHAnsi"/>
        </w:rPr>
        <w:t>,</w:t>
      </w:r>
      <w:r w:rsidRPr="001E4419">
        <w:rPr>
          <w:rFonts w:eastAsia="Scala-Regular" w:cstheme="minorHAnsi"/>
        </w:rPr>
        <w:t xml:space="preserve"> C</w:t>
      </w:r>
      <w:r w:rsidR="007B4181">
        <w:rPr>
          <w:rFonts w:eastAsia="Scala-Regular" w:cstheme="minorHAnsi"/>
        </w:rPr>
        <w:t>.</w:t>
      </w:r>
      <w:r w:rsidRPr="001E4419">
        <w:rPr>
          <w:rFonts w:eastAsia="Scala-Regular" w:cstheme="minorHAnsi"/>
        </w:rPr>
        <w:t xml:space="preserve"> and Schwarz</w:t>
      </w:r>
      <w:r w:rsidR="007B4181">
        <w:rPr>
          <w:rFonts w:eastAsia="Scala-Regular" w:cstheme="minorHAnsi"/>
        </w:rPr>
        <w:t>,</w:t>
      </w:r>
      <w:r w:rsidRPr="001E4419">
        <w:rPr>
          <w:rFonts w:eastAsia="Scala-Regular" w:cstheme="minorHAnsi"/>
        </w:rPr>
        <w:t xml:space="preserve"> G. </w:t>
      </w:r>
      <w:r w:rsidR="007B4181">
        <w:rPr>
          <w:rFonts w:eastAsia="Scala-Regular" w:cstheme="minorHAnsi"/>
        </w:rPr>
        <w:t>(</w:t>
      </w:r>
      <w:r w:rsidRPr="001E4419">
        <w:rPr>
          <w:rFonts w:eastAsia="Scala-Regular" w:cstheme="minorHAnsi"/>
        </w:rPr>
        <w:t>2008</w:t>
      </w:r>
      <w:r w:rsidR="007B4181">
        <w:rPr>
          <w:rFonts w:eastAsia="Scala-Regular" w:cstheme="minorHAnsi"/>
        </w:rPr>
        <w:t>)</w:t>
      </w:r>
      <w:r w:rsidRPr="001E4419">
        <w:rPr>
          <w:rFonts w:eastAsia="Scala-Regular" w:cstheme="minorHAnsi"/>
        </w:rPr>
        <w:t xml:space="preserve">. Resistance to voluntary </w:t>
      </w:r>
      <w:proofErr w:type="spellStart"/>
      <w:r w:rsidRPr="001E4419">
        <w:rPr>
          <w:rFonts w:eastAsia="Scala-Regular" w:cstheme="minorHAnsi"/>
        </w:rPr>
        <w:t>Agri</w:t>
      </w:r>
      <w:proofErr w:type="spellEnd"/>
      <w:r w:rsidRPr="001E4419">
        <w:rPr>
          <w:rFonts w:eastAsia="Scala-Regular" w:cstheme="minorHAnsi"/>
        </w:rPr>
        <w:t xml:space="preserve">-environmental schemes. </w:t>
      </w:r>
      <w:proofErr w:type="spellStart"/>
      <w:r w:rsidRPr="001E4419">
        <w:rPr>
          <w:rFonts w:eastAsia="Scala-Regular" w:cstheme="minorHAnsi"/>
          <w:i/>
        </w:rPr>
        <w:t>Sociologia</w:t>
      </w:r>
      <w:proofErr w:type="spellEnd"/>
      <w:r w:rsidRPr="001E4419">
        <w:rPr>
          <w:rFonts w:eastAsia="Scala-Regular" w:cstheme="minorHAnsi"/>
          <w:i/>
        </w:rPr>
        <w:t xml:space="preserve"> </w:t>
      </w:r>
      <w:proofErr w:type="spellStart"/>
      <w:r w:rsidRPr="001E4419">
        <w:rPr>
          <w:rFonts w:eastAsia="Scala-Regular" w:cstheme="minorHAnsi"/>
          <w:i/>
        </w:rPr>
        <w:t>Ruralis</w:t>
      </w:r>
      <w:proofErr w:type="spellEnd"/>
      <w:r w:rsidRPr="001E4419">
        <w:rPr>
          <w:rFonts w:eastAsia="Scala-Regular" w:cstheme="minorHAnsi"/>
        </w:rPr>
        <w:t xml:space="preserve"> 48 1</w:t>
      </w:r>
      <w:r w:rsidR="007138DF">
        <w:rPr>
          <w:rFonts w:eastAsia="Scala-Regular" w:cstheme="minorHAnsi"/>
        </w:rPr>
        <w:t>:</w:t>
      </w:r>
      <w:r w:rsidRPr="001E4419">
        <w:rPr>
          <w:rFonts w:eastAsia="Scala-Regular" w:cstheme="minorHAnsi"/>
        </w:rPr>
        <w:t>16-37</w:t>
      </w:r>
    </w:p>
    <w:p w14:paraId="70C37814" w14:textId="77777777" w:rsidR="007138DF" w:rsidRDefault="007138DF" w:rsidP="001F5030"/>
    <w:p w14:paraId="0F89C11E" w14:textId="5BB2ADD4" w:rsidR="001F5030" w:rsidRDefault="001F5030" w:rsidP="001F5030">
      <w:r>
        <w:t>Chaplin, S., Robinson, V., Le</w:t>
      </w:r>
      <w:r w:rsidR="007138DF">
        <w:t xml:space="preserve"> </w:t>
      </w:r>
      <w:r>
        <w:t xml:space="preserve">Page, A., Keep, H., Le </w:t>
      </w:r>
      <w:proofErr w:type="spellStart"/>
      <w:r>
        <w:t>Cocq</w:t>
      </w:r>
      <w:proofErr w:type="spellEnd"/>
      <w:r>
        <w:t xml:space="preserve">, J., Ward, D., Hicks, D. and </w:t>
      </w:r>
      <w:proofErr w:type="spellStart"/>
      <w:r>
        <w:t>Scholz</w:t>
      </w:r>
      <w:proofErr w:type="spellEnd"/>
      <w:r>
        <w:t xml:space="preserve">, E. (2019). Pilot </w:t>
      </w:r>
      <w:r w:rsidR="007138DF">
        <w:t>r</w:t>
      </w:r>
      <w:r>
        <w:t>esults</w:t>
      </w:r>
      <w:r w:rsidR="00A907A5">
        <w:t xml:space="preserve"> </w:t>
      </w:r>
      <w:r w:rsidR="007138DF">
        <w:t>b</w:t>
      </w:r>
      <w:r>
        <w:t xml:space="preserve">ased </w:t>
      </w:r>
      <w:r w:rsidR="007138DF">
        <w:t>p</w:t>
      </w:r>
      <w:r>
        <w:t xml:space="preserve">ayment </w:t>
      </w:r>
      <w:r w:rsidR="007138DF">
        <w:t>a</w:t>
      </w:r>
      <w:r>
        <w:t xml:space="preserve">pproaches for </w:t>
      </w:r>
      <w:proofErr w:type="spellStart"/>
      <w:r w:rsidR="007138DF">
        <w:t>a</w:t>
      </w:r>
      <w:r>
        <w:t>gri</w:t>
      </w:r>
      <w:proofErr w:type="spellEnd"/>
      <w:r>
        <w:t>-environment schemes in arable and upland grassland systems in England. Final Report to the European Commission. Natural England and Yorkshir</w:t>
      </w:r>
      <w:r w:rsidR="007138DF">
        <w:t>e Dales National Park Authority</w:t>
      </w:r>
    </w:p>
    <w:p w14:paraId="73ACE5BE" w14:textId="0DCCBDD4" w:rsidR="00796A2A" w:rsidRDefault="00796A2A" w:rsidP="001F5030"/>
    <w:p w14:paraId="029B24CB" w14:textId="4CA32E37" w:rsidR="00BF03F8" w:rsidRPr="00BF03F8" w:rsidRDefault="00BF03F8" w:rsidP="001F5030">
      <w:r>
        <w:t xml:space="preserve">Fry, T. and </w:t>
      </w:r>
      <w:proofErr w:type="spellStart"/>
      <w:r>
        <w:t>Thieme</w:t>
      </w:r>
      <w:proofErr w:type="spellEnd"/>
      <w:r>
        <w:t xml:space="preserve">, S. (2019). A social learning video method: Identifying and sharing successful transformation knowledge for sustainable soil management in Switzerland. </w:t>
      </w:r>
      <w:r>
        <w:rPr>
          <w:i/>
        </w:rPr>
        <w:t>Soil Use and Management</w:t>
      </w:r>
      <w:r>
        <w:t xml:space="preserve"> 35:185-194</w:t>
      </w:r>
    </w:p>
    <w:p w14:paraId="58C797EF" w14:textId="77777777" w:rsidR="00BF03F8" w:rsidRDefault="00BF03F8" w:rsidP="001F5030"/>
    <w:p w14:paraId="73634B06" w14:textId="0A352463" w:rsidR="00796A2A" w:rsidRPr="00A72682" w:rsidRDefault="00796A2A" w:rsidP="001F5030">
      <w:proofErr w:type="spellStart"/>
      <w:r>
        <w:t>Hayhow</w:t>
      </w:r>
      <w:proofErr w:type="spellEnd"/>
      <w:r w:rsidR="00A907A5">
        <w:t>,</w:t>
      </w:r>
      <w:r>
        <w:t xml:space="preserve"> D</w:t>
      </w:r>
      <w:r w:rsidR="00A907A5">
        <w:t>.</w:t>
      </w:r>
      <w:r>
        <w:t>B</w:t>
      </w:r>
      <w:r w:rsidR="00F03158">
        <w:t>.</w:t>
      </w:r>
      <w:r>
        <w:t>, Bond</w:t>
      </w:r>
      <w:r w:rsidR="00A907A5">
        <w:t>,</w:t>
      </w:r>
      <w:r>
        <w:t xml:space="preserve"> A</w:t>
      </w:r>
      <w:r w:rsidR="00A907A5">
        <w:t>.</w:t>
      </w:r>
      <w:r>
        <w:t>L</w:t>
      </w:r>
      <w:r w:rsidR="00A907A5">
        <w:t>.</w:t>
      </w:r>
      <w:r>
        <w:t>, Douse</w:t>
      </w:r>
      <w:r w:rsidR="00A907A5">
        <w:t>,</w:t>
      </w:r>
      <w:r>
        <w:t xml:space="preserve"> A</w:t>
      </w:r>
      <w:r w:rsidR="00A907A5">
        <w:t>.</w:t>
      </w:r>
      <w:r>
        <w:t>, Eaton</w:t>
      </w:r>
      <w:r w:rsidR="00A907A5">
        <w:t>,</w:t>
      </w:r>
      <w:r>
        <w:t xml:space="preserve"> M</w:t>
      </w:r>
      <w:r w:rsidR="00A907A5">
        <w:t>.</w:t>
      </w:r>
      <w:r>
        <w:t>A</w:t>
      </w:r>
      <w:r w:rsidR="00A907A5">
        <w:t>.</w:t>
      </w:r>
      <w:r>
        <w:t>, Frost</w:t>
      </w:r>
      <w:r w:rsidR="00A907A5">
        <w:t>,</w:t>
      </w:r>
      <w:r>
        <w:t xml:space="preserve"> T</w:t>
      </w:r>
      <w:r w:rsidR="00A907A5">
        <w:t>.</w:t>
      </w:r>
      <w:r>
        <w:t>, Grice</w:t>
      </w:r>
      <w:r w:rsidR="00A907A5">
        <w:t>,</w:t>
      </w:r>
      <w:r>
        <w:t xml:space="preserve"> P</w:t>
      </w:r>
      <w:r w:rsidR="00A907A5">
        <w:t>.</w:t>
      </w:r>
      <w:r>
        <w:t>V</w:t>
      </w:r>
      <w:r w:rsidR="00A907A5">
        <w:t>.</w:t>
      </w:r>
      <w:r>
        <w:t>, Hall</w:t>
      </w:r>
      <w:r w:rsidR="00A907A5">
        <w:t>,</w:t>
      </w:r>
      <w:r>
        <w:t xml:space="preserve"> C</w:t>
      </w:r>
      <w:r w:rsidR="00A907A5">
        <w:t>.</w:t>
      </w:r>
      <w:r>
        <w:t>, Harris</w:t>
      </w:r>
      <w:r w:rsidR="00A907A5">
        <w:t>,</w:t>
      </w:r>
      <w:r>
        <w:t xml:space="preserve"> S</w:t>
      </w:r>
      <w:r w:rsidR="00A907A5">
        <w:t>.</w:t>
      </w:r>
      <w:r>
        <w:t>J</w:t>
      </w:r>
      <w:r w:rsidR="00A907A5">
        <w:t>.</w:t>
      </w:r>
      <w:r>
        <w:t xml:space="preserve">, </w:t>
      </w:r>
      <w:proofErr w:type="spellStart"/>
      <w:r>
        <w:t>Havery</w:t>
      </w:r>
      <w:proofErr w:type="spellEnd"/>
      <w:r w:rsidR="00A907A5">
        <w:t>,</w:t>
      </w:r>
      <w:r>
        <w:t xml:space="preserve"> S</w:t>
      </w:r>
      <w:r w:rsidR="00A907A5">
        <w:t>.</w:t>
      </w:r>
      <w:r>
        <w:t>, Hearn</w:t>
      </w:r>
      <w:r w:rsidR="00A907A5">
        <w:t>,</w:t>
      </w:r>
      <w:r>
        <w:t xml:space="preserve"> R</w:t>
      </w:r>
      <w:r w:rsidR="00A907A5">
        <w:t>.</w:t>
      </w:r>
      <w:r>
        <w:t>D</w:t>
      </w:r>
      <w:r w:rsidR="00A907A5">
        <w:t>.</w:t>
      </w:r>
      <w:r>
        <w:t>, Noble</w:t>
      </w:r>
      <w:r w:rsidR="00A907A5">
        <w:t>,</w:t>
      </w:r>
      <w:r>
        <w:t xml:space="preserve"> D</w:t>
      </w:r>
      <w:r w:rsidR="00A907A5">
        <w:t>.</w:t>
      </w:r>
      <w:r>
        <w:t>G</w:t>
      </w:r>
      <w:r w:rsidR="00A907A5">
        <w:t>.</w:t>
      </w:r>
      <w:r>
        <w:t xml:space="preserve">, </w:t>
      </w:r>
      <w:proofErr w:type="spellStart"/>
      <w:r>
        <w:t>Oppel</w:t>
      </w:r>
      <w:proofErr w:type="spellEnd"/>
      <w:r w:rsidR="00A907A5">
        <w:t>,</w:t>
      </w:r>
      <w:r>
        <w:t xml:space="preserve"> S</w:t>
      </w:r>
      <w:r w:rsidR="00A907A5">
        <w:t>.</w:t>
      </w:r>
      <w:r>
        <w:t>, Williams</w:t>
      </w:r>
      <w:r w:rsidR="00A907A5">
        <w:t>,</w:t>
      </w:r>
      <w:r>
        <w:t xml:space="preserve"> J</w:t>
      </w:r>
      <w:r w:rsidR="00A907A5">
        <w:t>.</w:t>
      </w:r>
      <w:r>
        <w:t>, Win</w:t>
      </w:r>
      <w:r w:rsidR="00A907A5">
        <w:t>,</w:t>
      </w:r>
      <w:r>
        <w:t xml:space="preserve"> I</w:t>
      </w:r>
      <w:r w:rsidR="00A907A5">
        <w:t>.</w:t>
      </w:r>
      <w:r>
        <w:t xml:space="preserve"> and Wotton</w:t>
      </w:r>
      <w:r w:rsidR="00A907A5">
        <w:t>,</w:t>
      </w:r>
      <w:r>
        <w:t xml:space="preserve"> S</w:t>
      </w:r>
      <w:r w:rsidR="00A907A5">
        <w:t>.</w:t>
      </w:r>
      <w:r>
        <w:t xml:space="preserve"> (2017)</w:t>
      </w:r>
      <w:r w:rsidR="00A907A5">
        <w:t>.</w:t>
      </w:r>
      <w:r>
        <w:t xml:space="preserve"> The state of the UK’s birds 2016. The RSPB, BTO, WWT, DAERA, JNCC, NE, NRW and SNH, Sandy, Bedfordshire</w:t>
      </w:r>
    </w:p>
    <w:p w14:paraId="732F321F" w14:textId="79980807" w:rsidR="000F6D40" w:rsidRDefault="000F6D40" w:rsidP="00A72682"/>
    <w:p w14:paraId="5878DCD8" w14:textId="3EA5FFD2" w:rsidR="001F5030" w:rsidRDefault="001F5030" w:rsidP="001F5030">
      <w:r>
        <w:t>Hurley, P., Lyon, J., Hall, J., Litt</w:t>
      </w:r>
      <w:r w:rsidR="00F03158">
        <w:t xml:space="preserve">le, R., Tsouvalis, J. and Rose, D.C. </w:t>
      </w:r>
      <w:r>
        <w:t>(2020</w:t>
      </w:r>
      <w:r w:rsidR="00403EE4">
        <w:t>a</w:t>
      </w:r>
      <w:r w:rsidR="00F03158">
        <w:t>). Co-designing the environmental l</w:t>
      </w:r>
      <w:r>
        <w:t xml:space="preserve">and </w:t>
      </w:r>
      <w:r w:rsidR="00F03158">
        <w:t>m</w:t>
      </w:r>
      <w:r>
        <w:t xml:space="preserve">anagement </w:t>
      </w:r>
      <w:r w:rsidR="00F03158">
        <w:t>s</w:t>
      </w:r>
      <w:r>
        <w:t xml:space="preserve">cheme in England: the why, who, and how of engaging ‘harder to reach’ stakeholders. </w:t>
      </w:r>
      <w:hyperlink r:id="rId10" w:history="1">
        <w:r w:rsidR="00F03158" w:rsidRPr="003C0368">
          <w:rPr>
            <w:rStyle w:val="Hyperlink"/>
          </w:rPr>
          <w:t>https://doi.org/10.31235/osf.io/k2ahd</w:t>
        </w:r>
      </w:hyperlink>
      <w:r w:rsidR="00F03158">
        <w:t xml:space="preserve"> </w:t>
      </w:r>
      <w:r>
        <w:t>MLA</w:t>
      </w:r>
    </w:p>
    <w:p w14:paraId="2EA1AB85" w14:textId="6A474B88" w:rsidR="00B953BD" w:rsidRDefault="00B953BD" w:rsidP="001F5030"/>
    <w:p w14:paraId="73CF94AB" w14:textId="160E0C61" w:rsidR="00403EE4" w:rsidRPr="00F03158" w:rsidRDefault="00403EE4" w:rsidP="00403EE4">
      <w:r w:rsidRPr="00F03158">
        <w:t>Hurley, P., Hall, J., Lyon, J., Tsouvalis, J., Rose, D. C.; Little, R. (2020b): </w:t>
      </w:r>
      <w:hyperlink r:id="rId11" w:history="1">
        <w:r w:rsidRPr="00F03158">
          <w:rPr>
            <w:rStyle w:val="Hyperlink"/>
            <w:bCs/>
            <w:color w:val="auto"/>
            <w:u w:val="none"/>
          </w:rPr>
          <w:t>I</w:t>
        </w:r>
        <w:r w:rsidR="00F03158" w:rsidRPr="00F03158">
          <w:rPr>
            <w:rStyle w:val="Hyperlink"/>
            <w:bCs/>
            <w:color w:val="auto"/>
            <w:u w:val="none"/>
          </w:rPr>
          <w:t>nclusive design of post-Brexit agrieEnvironmental p</w:t>
        </w:r>
        <w:r w:rsidRPr="00F03158">
          <w:rPr>
            <w:rStyle w:val="Hyperlink"/>
            <w:bCs/>
            <w:color w:val="auto"/>
            <w:u w:val="none"/>
          </w:rPr>
          <w:t>olicy: Identifying and engaging the 'Harder to Reach' Stakeholders. An Empirical Study</w:t>
        </w:r>
      </w:hyperlink>
      <w:r w:rsidRPr="00F03158">
        <w:t>. The Universities of Sheffield and Reading. Report. </w:t>
      </w:r>
      <w:hyperlink r:id="rId12" w:tgtFrame="_blank" w:history="1">
        <w:r w:rsidRPr="00F03158">
          <w:rPr>
            <w:rStyle w:val="Hyperlink"/>
            <w:bCs/>
            <w:color w:val="auto"/>
            <w:u w:val="none"/>
          </w:rPr>
          <w:t>https://doi.org/10.15131/shef.data.12506123.v2</w:t>
        </w:r>
      </w:hyperlink>
    </w:p>
    <w:p w14:paraId="7D876153" w14:textId="77777777" w:rsidR="00403EE4" w:rsidRPr="00FE0C71" w:rsidRDefault="00403EE4" w:rsidP="00403EE4"/>
    <w:p w14:paraId="5E2D99FB" w14:textId="07E8209E" w:rsidR="00B953BD" w:rsidRPr="00B953BD" w:rsidRDefault="00B953BD" w:rsidP="001F5030">
      <w:proofErr w:type="spellStart"/>
      <w:r>
        <w:t>Igram</w:t>
      </w:r>
      <w:proofErr w:type="spellEnd"/>
      <w:r>
        <w:t xml:space="preserve">, J. and Morris, C. (2007). The knowledge challenge within the transition towards sustainable soil management: An analysis of agricultural advisors in England. </w:t>
      </w:r>
      <w:r>
        <w:rPr>
          <w:i/>
        </w:rPr>
        <w:t>Land Use Policy</w:t>
      </w:r>
      <w:r w:rsidR="00F03158">
        <w:rPr>
          <w:i/>
        </w:rPr>
        <w:softHyphen/>
      </w:r>
      <w:r w:rsidR="00F03158">
        <w:rPr>
          <w:i/>
        </w:rPr>
        <w:softHyphen/>
      </w:r>
      <w:r w:rsidR="00F03158">
        <w:rPr>
          <w:i/>
        </w:rPr>
        <w:softHyphen/>
      </w:r>
      <w:r>
        <w:t xml:space="preserve"> 24:100-117</w:t>
      </w:r>
    </w:p>
    <w:p w14:paraId="7CE4FB0E" w14:textId="778030AF" w:rsidR="00B953BD" w:rsidRDefault="00B953BD" w:rsidP="001F5030"/>
    <w:p w14:paraId="4F000F77" w14:textId="4840A4F3" w:rsidR="00BF03F8" w:rsidRDefault="00B953BD" w:rsidP="001F5030">
      <w:proofErr w:type="spellStart"/>
      <w:r>
        <w:t>Klerkx</w:t>
      </w:r>
      <w:proofErr w:type="spellEnd"/>
      <w:r>
        <w:t xml:space="preserve">, L. and Proctor, A. (2012). Beyond fragmentation and discontent: networks for knowledge exchange in the English land management advisory system. </w:t>
      </w:r>
      <w:r>
        <w:rPr>
          <w:i/>
        </w:rPr>
        <w:t>Land Use Policy</w:t>
      </w:r>
      <w:r>
        <w:t xml:space="preserve"> 30: 13-24</w:t>
      </w:r>
    </w:p>
    <w:p w14:paraId="464AFE57" w14:textId="460C2D1E" w:rsidR="00BF03F8" w:rsidRDefault="00BF03F8" w:rsidP="001F5030"/>
    <w:p w14:paraId="5C2BA5BF" w14:textId="1EF76523" w:rsidR="00BF03F8" w:rsidRPr="00BF03F8" w:rsidRDefault="00BF03F8" w:rsidP="001F5030">
      <w:proofErr w:type="spellStart"/>
      <w:r>
        <w:t>Krzywoszynska</w:t>
      </w:r>
      <w:proofErr w:type="spellEnd"/>
      <w:r>
        <w:t xml:space="preserve">, A. (2019). Making knowledge and meaning in communities of practice: What role may science play? The case of sustainable soil management in England. </w:t>
      </w:r>
      <w:r>
        <w:rPr>
          <w:i/>
        </w:rPr>
        <w:t>Soil Use and Management</w:t>
      </w:r>
      <w:r>
        <w:t xml:space="preserve"> 35:160-168</w:t>
      </w:r>
    </w:p>
    <w:p w14:paraId="3E5D9161" w14:textId="19BC69ED" w:rsidR="00403EE4" w:rsidRDefault="00403EE4" w:rsidP="00403EE4"/>
    <w:p w14:paraId="2401F0A7" w14:textId="27CB9AFB" w:rsidR="00403EE4" w:rsidRPr="00F03158" w:rsidRDefault="00403EE4" w:rsidP="00403EE4">
      <w:r w:rsidRPr="00F03158">
        <w:t>Lyon, J., Hurley, P., Hall, J., Tsouvalis, J., Rose, D. C</w:t>
      </w:r>
      <w:r w:rsidR="00F03158" w:rsidRPr="00F03158">
        <w:t>. and</w:t>
      </w:r>
      <w:r w:rsidRPr="00F03158">
        <w:t xml:space="preserve"> Little, R. (2020): </w:t>
      </w:r>
      <w:hyperlink r:id="rId13" w:history="1">
        <w:r w:rsidRPr="00F03158">
          <w:rPr>
            <w:rStyle w:val="Hyperlink"/>
            <w:bCs/>
            <w:color w:val="auto"/>
            <w:u w:val="none"/>
          </w:rPr>
          <w:t>Inclusive design of post-Brexit Agri-Environmental Policy:</w:t>
        </w:r>
        <w:r w:rsidR="00F03158" w:rsidRPr="00F03158">
          <w:rPr>
            <w:rStyle w:val="Hyperlink"/>
            <w:bCs/>
            <w:color w:val="auto"/>
            <w:u w:val="none"/>
          </w:rPr>
          <w:t xml:space="preserve"> Identifying and engaging the 'harder to r</w:t>
        </w:r>
        <w:r w:rsidRPr="00F03158">
          <w:rPr>
            <w:rStyle w:val="Hyperlink"/>
            <w:bCs/>
            <w:color w:val="auto"/>
            <w:u w:val="none"/>
          </w:rPr>
          <w:t>each' stakeholders. A Quick Scoping Review</w:t>
        </w:r>
      </w:hyperlink>
      <w:r w:rsidRPr="00F03158">
        <w:t>. The Universities of Sheffield and Reading. Report. </w:t>
      </w:r>
      <w:hyperlink r:id="rId14" w:tgtFrame="_blank" w:history="1">
        <w:r w:rsidRPr="00F03158">
          <w:rPr>
            <w:rStyle w:val="Hyperlink"/>
            <w:bCs/>
            <w:color w:val="auto"/>
            <w:u w:val="none"/>
          </w:rPr>
          <w:t>https://doi.org/10.15131/shef.data.12506582.v3</w:t>
        </w:r>
      </w:hyperlink>
      <w:r w:rsidRPr="00F03158">
        <w:t> </w:t>
      </w:r>
    </w:p>
    <w:p w14:paraId="56FB4963" w14:textId="77777777" w:rsidR="00403EE4" w:rsidRPr="00403EE4" w:rsidRDefault="00403EE4" w:rsidP="00403EE4"/>
    <w:p w14:paraId="3E9C142A" w14:textId="6E123AAE" w:rsidR="000C7AB3" w:rsidRDefault="000F6D40" w:rsidP="001E4419">
      <w:pPr>
        <w:rPr>
          <w:rStyle w:val="Hyperlink"/>
        </w:rPr>
      </w:pPr>
      <w:proofErr w:type="spellStart"/>
      <w:r w:rsidRPr="00A72682">
        <w:t>Pe'er</w:t>
      </w:r>
      <w:proofErr w:type="spellEnd"/>
      <w:r w:rsidRPr="00A72682">
        <w:t xml:space="preserve">, G., Dicks, L. V., Visconti, P., </w:t>
      </w:r>
      <w:proofErr w:type="spellStart"/>
      <w:r w:rsidRPr="00A72682">
        <w:t>Arletta</w:t>
      </w:r>
      <w:r w:rsidR="00F03158">
        <w:t>z</w:t>
      </w:r>
      <w:proofErr w:type="spellEnd"/>
      <w:r w:rsidR="00F03158">
        <w:t xml:space="preserve">, R., </w:t>
      </w:r>
      <w:proofErr w:type="spellStart"/>
      <w:r w:rsidR="00F03158">
        <w:t>Baldi</w:t>
      </w:r>
      <w:proofErr w:type="spellEnd"/>
      <w:r w:rsidR="00F03158">
        <w:t xml:space="preserve">, A., Benton, T. G. and </w:t>
      </w:r>
      <w:r w:rsidRPr="00A72682">
        <w:t xml:space="preserve">Scott, A. V. (2014). EU agricultural reform fails on biodiversity. </w:t>
      </w:r>
      <w:r w:rsidRPr="00A72682">
        <w:rPr>
          <w:i/>
          <w:iCs/>
        </w:rPr>
        <w:t>Science</w:t>
      </w:r>
      <w:r w:rsidR="00F03158">
        <w:t xml:space="preserve"> </w:t>
      </w:r>
      <w:r w:rsidRPr="00A72682">
        <w:t>344</w:t>
      </w:r>
      <w:r w:rsidR="00F03158">
        <w:t>:</w:t>
      </w:r>
      <w:r w:rsidRPr="00A72682">
        <w:t xml:space="preserve">1090–1092 </w:t>
      </w:r>
      <w:hyperlink r:id="rId15" w:history="1">
        <w:r w:rsidR="001F5030" w:rsidRPr="00617809">
          <w:rPr>
            <w:rStyle w:val="Hyperlink"/>
          </w:rPr>
          <w:t>https://doi.org/10.1126/science.1253425</w:t>
        </w:r>
      </w:hyperlink>
    </w:p>
    <w:p w14:paraId="17E3F4FB" w14:textId="77777777" w:rsidR="000C7AB3" w:rsidRDefault="000C7AB3" w:rsidP="001E4419">
      <w:pPr>
        <w:rPr>
          <w:rStyle w:val="Hyperlink"/>
        </w:rPr>
      </w:pPr>
    </w:p>
    <w:p w14:paraId="3A91E895" w14:textId="7DDDF61C" w:rsidR="000C7AB3" w:rsidRPr="001E4419" w:rsidRDefault="000C7AB3" w:rsidP="001E4419">
      <w:pPr>
        <w:rPr>
          <w:rFonts w:cstheme="minorHAnsi"/>
        </w:rPr>
      </w:pPr>
      <w:r w:rsidRPr="001E4419">
        <w:rPr>
          <w:rFonts w:cstheme="minorHAnsi"/>
        </w:rPr>
        <w:t xml:space="preserve">Riley M. </w:t>
      </w:r>
      <w:r>
        <w:rPr>
          <w:rFonts w:cstheme="minorHAnsi"/>
        </w:rPr>
        <w:t>(</w:t>
      </w:r>
      <w:r w:rsidRPr="001E4419">
        <w:rPr>
          <w:rFonts w:cstheme="minorHAnsi"/>
        </w:rPr>
        <w:t>2016</w:t>
      </w:r>
      <w:r>
        <w:rPr>
          <w:rFonts w:cstheme="minorHAnsi"/>
        </w:rPr>
        <w:t>)</w:t>
      </w:r>
      <w:r w:rsidRPr="001E4419">
        <w:rPr>
          <w:rFonts w:cstheme="minorHAnsi"/>
        </w:rPr>
        <w:t xml:space="preserve">. How does longer term participation in </w:t>
      </w:r>
      <w:proofErr w:type="spellStart"/>
      <w:r w:rsidRPr="001E4419">
        <w:rPr>
          <w:rFonts w:cstheme="minorHAnsi"/>
        </w:rPr>
        <w:t>agri</w:t>
      </w:r>
      <w:proofErr w:type="spellEnd"/>
      <w:r w:rsidRPr="001E4419">
        <w:rPr>
          <w:rFonts w:cstheme="minorHAnsi"/>
        </w:rPr>
        <w:t>-environment schemes</w:t>
      </w:r>
      <w:r w:rsidR="00F03158">
        <w:rPr>
          <w:rFonts w:cstheme="minorHAnsi"/>
        </w:rPr>
        <w:t xml:space="preserve"> </w:t>
      </w:r>
      <w:r w:rsidRPr="001E4419">
        <w:rPr>
          <w:rFonts w:cstheme="minorHAnsi"/>
        </w:rPr>
        <w:t xml:space="preserve">[re]shape farmers’ environmental dispositions and identities? </w:t>
      </w:r>
      <w:r w:rsidRPr="001E4419">
        <w:rPr>
          <w:rFonts w:cstheme="minorHAnsi"/>
          <w:i/>
        </w:rPr>
        <w:t xml:space="preserve">Land Use Policy </w:t>
      </w:r>
      <w:r w:rsidRPr="001E4419">
        <w:rPr>
          <w:rFonts w:cstheme="minorHAnsi"/>
        </w:rPr>
        <w:t>52</w:t>
      </w:r>
      <w:r w:rsidR="00F03158">
        <w:rPr>
          <w:rFonts w:cstheme="minorHAnsi"/>
        </w:rPr>
        <w:t>:</w:t>
      </w:r>
      <w:r w:rsidRPr="001E4419">
        <w:rPr>
          <w:rFonts w:cstheme="minorHAnsi"/>
        </w:rPr>
        <w:t xml:space="preserve">62-75 </w:t>
      </w:r>
    </w:p>
    <w:p w14:paraId="33058307" w14:textId="6C387273" w:rsidR="001F5030" w:rsidRDefault="001F5030" w:rsidP="00A72682"/>
    <w:p w14:paraId="3BFF8DF7" w14:textId="2FADFB96" w:rsidR="001F5030" w:rsidRDefault="001F5030" w:rsidP="00A72682">
      <w:r w:rsidRPr="001F5030">
        <w:t>Stewart, B</w:t>
      </w:r>
      <w:r>
        <w:t>.</w:t>
      </w:r>
      <w:r w:rsidRPr="001F5030">
        <w:t>D</w:t>
      </w:r>
      <w:r>
        <w:t>.</w:t>
      </w:r>
      <w:r w:rsidRPr="001F5030">
        <w:t>, Burns, C</w:t>
      </w:r>
      <w:r>
        <w:t>.</w:t>
      </w:r>
      <w:r w:rsidRPr="001F5030">
        <w:t xml:space="preserve">, </w:t>
      </w:r>
      <w:proofErr w:type="spellStart"/>
      <w:r w:rsidRPr="001F5030">
        <w:t>Hejnowicz</w:t>
      </w:r>
      <w:proofErr w:type="spellEnd"/>
      <w:r w:rsidRPr="001F5030">
        <w:t>, A</w:t>
      </w:r>
      <w:r>
        <w:t>.</w:t>
      </w:r>
      <w:r w:rsidRPr="001F5030">
        <w:t>P</w:t>
      </w:r>
      <w:r>
        <w:t>.</w:t>
      </w:r>
      <w:r w:rsidR="00F03158">
        <w:t xml:space="preserve"> </w:t>
      </w:r>
      <w:r w:rsidRPr="001F5030">
        <w:t>et al.</w:t>
      </w:r>
      <w:r>
        <w:t xml:space="preserve"> (2019).</w:t>
      </w:r>
      <w:r w:rsidRPr="001F5030">
        <w:t xml:space="preserve"> Making </w:t>
      </w:r>
      <w:proofErr w:type="spellStart"/>
      <w:r w:rsidRPr="001F5030">
        <w:t>Brexit</w:t>
      </w:r>
      <w:proofErr w:type="spellEnd"/>
      <w:r w:rsidRPr="001F5030">
        <w:t xml:space="preserve"> work for the environment and livelihoods: Delivering a stakeholder informed vision for agriculture and fisheries. </w:t>
      </w:r>
      <w:r w:rsidR="00F03158">
        <w:rPr>
          <w:i/>
          <w:iCs/>
        </w:rPr>
        <w:t>People and N</w:t>
      </w:r>
      <w:r w:rsidRPr="001F5030">
        <w:rPr>
          <w:i/>
          <w:iCs/>
        </w:rPr>
        <w:t>ature</w:t>
      </w:r>
      <w:r w:rsidRPr="001F5030">
        <w:t xml:space="preserve"> 1: 442– 456. </w:t>
      </w:r>
      <w:hyperlink r:id="rId16" w:history="1">
        <w:r w:rsidRPr="00617809">
          <w:rPr>
            <w:rStyle w:val="Hyperlink"/>
          </w:rPr>
          <w:t>https://doi.org/10.1002/pan3.10054</w:t>
        </w:r>
      </w:hyperlink>
    </w:p>
    <w:p w14:paraId="5EE57C89" w14:textId="77777777" w:rsidR="001F5030" w:rsidRPr="00A72682" w:rsidRDefault="001F5030" w:rsidP="00A72682"/>
    <w:p w14:paraId="3902DB0D" w14:textId="29FE613D" w:rsidR="00427CEF" w:rsidRDefault="0008616A">
      <w:r>
        <w:t xml:space="preserve">Sutherland, L.A. and </w:t>
      </w:r>
      <w:proofErr w:type="spellStart"/>
      <w:r>
        <w:t>Darnhofer</w:t>
      </w:r>
      <w:proofErr w:type="spellEnd"/>
      <w:r>
        <w:t xml:space="preserve">, I. (2012). Of organic farmers and ‘good farmers’: Changing habitus in rural England. </w:t>
      </w:r>
      <w:r>
        <w:rPr>
          <w:i/>
        </w:rPr>
        <w:t>Journal of Rural Studie</w:t>
      </w:r>
      <w:r w:rsidR="00F03158">
        <w:rPr>
          <w:i/>
        </w:rPr>
        <w:t>s</w:t>
      </w:r>
      <w:r>
        <w:rPr>
          <w:i/>
        </w:rPr>
        <w:t xml:space="preserve"> </w:t>
      </w:r>
      <w:r>
        <w:t>28, 3:232-240</w:t>
      </w:r>
    </w:p>
    <w:p w14:paraId="6702061C" w14:textId="77777777" w:rsidR="00427CEF" w:rsidRDefault="00427CEF"/>
    <w:p w14:paraId="1B74D3A4" w14:textId="6D2C52ED" w:rsidR="00427CEF" w:rsidRPr="00733012" w:rsidRDefault="00427CEF">
      <w:pPr>
        <w:rPr>
          <w:rFonts w:cstheme="minorHAnsi"/>
        </w:rPr>
      </w:pPr>
      <w:r w:rsidRPr="00733012">
        <w:rPr>
          <w:rFonts w:cstheme="minorHAnsi"/>
          <w:shd w:val="clear" w:color="auto" w:fill="FFFFFF"/>
        </w:rPr>
        <w:t>Tsouvalis, J</w:t>
      </w:r>
      <w:r w:rsidR="00F03158" w:rsidRPr="00733012">
        <w:rPr>
          <w:rFonts w:cstheme="minorHAnsi"/>
          <w:shd w:val="clear" w:color="auto" w:fill="FFFFFF"/>
        </w:rPr>
        <w:t>. and</w:t>
      </w:r>
      <w:r w:rsidRPr="00733012">
        <w:rPr>
          <w:rFonts w:cstheme="minorHAnsi"/>
          <w:shd w:val="clear" w:color="auto" w:fill="FFFFFF"/>
        </w:rPr>
        <w:t xml:space="preserve"> Little, R. (2019). </w:t>
      </w:r>
      <w:hyperlink r:id="rId17" w:history="1">
        <w:r w:rsidR="00F03158"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Co-Design, c</w:t>
        </w:r>
        <w:r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 xml:space="preserve">o-production and </w:t>
        </w:r>
        <w:r w:rsidR="00F03158"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p</w:t>
        </w:r>
        <w:r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 xml:space="preserve">articipatory </w:t>
        </w:r>
        <w:r w:rsidR="00F03158"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p</w:t>
        </w:r>
        <w:r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 xml:space="preserve">olicy </w:t>
        </w:r>
        <w:r w:rsidR="00F03158"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m</w:t>
        </w:r>
        <w:r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 xml:space="preserve">aking - Insights from the </w:t>
        </w:r>
        <w:r w:rsidR="00F03158"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s</w:t>
        </w:r>
        <w:r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 xml:space="preserve">ocial </w:t>
        </w:r>
        <w:r w:rsidR="00F03158"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s</w:t>
        </w:r>
        <w:r w:rsidRPr="00733012">
          <w:rPr>
            <w:rStyle w:val="Hyperlink"/>
            <w:rFonts w:cstheme="minorHAnsi"/>
            <w:bCs/>
            <w:color w:val="auto"/>
            <w:u w:val="none"/>
            <w:shd w:val="clear" w:color="auto" w:fill="FFFFFF"/>
          </w:rPr>
          <w:t>ciences</w:t>
        </w:r>
      </w:hyperlink>
      <w:r w:rsidR="00DD06A0" w:rsidRPr="00733012">
        <w:rPr>
          <w:rFonts w:cstheme="minorHAnsi"/>
        </w:rPr>
        <w:t>.</w:t>
      </w:r>
      <w:r w:rsidR="00DD06A0" w:rsidRPr="00733012">
        <w:t xml:space="preserve"> </w:t>
      </w:r>
      <w:hyperlink r:id="rId18" w:tgtFrame="_blank" w:history="1">
        <w:r w:rsidR="00DD06A0" w:rsidRPr="00733012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10.15131/shef.data.11569620.v3</w:t>
        </w:r>
      </w:hyperlink>
    </w:p>
    <w:sectPr w:rsidR="00427CEF" w:rsidRPr="00733012" w:rsidSect="00A76D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1DFE7" w16cex:dateUtc="2020-09-08T09:48:00Z"/>
  <w16cex:commentExtensible w16cex:durableId="2301DFCA" w16cex:dateUtc="2020-09-08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9A872D" w16cid:durableId="2304A751"/>
  <w16cid:commentId w16cid:paraId="00E937C9" w16cid:durableId="2304A752"/>
  <w16cid:commentId w16cid:paraId="220122AA" w16cid:durableId="2304A753"/>
  <w16cid:commentId w16cid:paraId="23015110" w16cid:durableId="2304A754"/>
  <w16cid:commentId w16cid:paraId="6A4E0147" w16cid:durableId="2304A755"/>
  <w16cid:commentId w16cid:paraId="74886814" w16cid:durableId="2304A756"/>
  <w16cid:commentId w16cid:paraId="79CD25EA" w16cid:durableId="22EE16AA"/>
  <w16cid:commentId w16cid:paraId="336F6E1F" w16cid:durableId="2301DFE7"/>
  <w16cid:commentId w16cid:paraId="5C580CF4" w16cid:durableId="2304A759"/>
  <w16cid:commentId w16cid:paraId="105A67AD" w16cid:durableId="2304A75A"/>
  <w16cid:commentId w16cid:paraId="044D9027" w16cid:durableId="2301D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B60C" w14:textId="77777777" w:rsidR="00145EC5" w:rsidRDefault="00145EC5" w:rsidP="001F5030">
      <w:r>
        <w:separator/>
      </w:r>
    </w:p>
  </w:endnote>
  <w:endnote w:type="continuationSeparator" w:id="0">
    <w:p w14:paraId="43EA541A" w14:textId="77777777" w:rsidR="00145EC5" w:rsidRDefault="00145EC5" w:rsidP="001F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Gulliv-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ala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ala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08C7" w14:textId="77777777" w:rsidR="00145EC5" w:rsidRDefault="00145EC5" w:rsidP="001F5030">
      <w:r>
        <w:separator/>
      </w:r>
    </w:p>
  </w:footnote>
  <w:footnote w:type="continuationSeparator" w:id="0">
    <w:p w14:paraId="098287D2" w14:textId="77777777" w:rsidR="00145EC5" w:rsidRDefault="00145EC5" w:rsidP="001F5030">
      <w:r>
        <w:continuationSeparator/>
      </w:r>
    </w:p>
  </w:footnote>
  <w:footnote w:id="1">
    <w:p w14:paraId="493932C6" w14:textId="525C15D1" w:rsidR="001F5030" w:rsidRPr="00636179" w:rsidRDefault="001F5030" w:rsidP="00636179">
      <w:r>
        <w:rPr>
          <w:rStyle w:val="FootnoteReference"/>
        </w:rPr>
        <w:footnoteRef/>
      </w:r>
      <w:r>
        <w:t xml:space="preserve"> See Project website: </w:t>
      </w:r>
      <w:hyperlink r:id="rId1" w:history="1">
        <w:r>
          <w:rPr>
            <w:rStyle w:val="Hyperlink"/>
          </w:rPr>
          <w:t>https://www.sheffield.ac.uk/geography/research/projects/agri-environmental-governance-post-brexit/project-outputs</w:t>
        </w:r>
      </w:hyperlink>
    </w:p>
  </w:footnote>
  <w:footnote w:id="2">
    <w:p w14:paraId="398DE854" w14:textId="349C628A" w:rsidR="00636179" w:rsidRDefault="00636179">
      <w:pPr>
        <w:pStyle w:val="FootnoteText"/>
      </w:pPr>
      <w:r w:rsidRPr="00636179">
        <w:rPr>
          <w:rStyle w:val="FootnoteReference"/>
          <w:sz w:val="24"/>
          <w:szCs w:val="24"/>
        </w:rPr>
        <w:footnoteRef/>
      </w:r>
      <w:r w:rsidRPr="00636179">
        <w:rPr>
          <w:sz w:val="24"/>
          <w:szCs w:val="24"/>
        </w:rPr>
        <w:t xml:space="preserve"> Contributors</w:t>
      </w:r>
      <w:r>
        <w:rPr>
          <w:sz w:val="24"/>
          <w:szCs w:val="24"/>
        </w:rPr>
        <w:t xml:space="preserve"> to this project were Jess Lyon</w:t>
      </w:r>
      <w:r w:rsidRPr="00636179">
        <w:rPr>
          <w:sz w:val="24"/>
          <w:szCs w:val="24"/>
        </w:rPr>
        <w:t>, Dr Paul Hurley and Dr Jilly Hall</w:t>
      </w:r>
    </w:p>
  </w:footnote>
  <w:footnote w:id="3">
    <w:p w14:paraId="6A1FE7F0" w14:textId="77777777" w:rsidR="00ED3DDA" w:rsidRDefault="00ED3DDA" w:rsidP="00ED3DDA"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https://www.farminguk.com/news/brexit-red-tape-and-digital-divide-threatens-success-of-elm-scheme_55931.html</w:t>
        </w:r>
      </w:hyperlink>
    </w:p>
    <w:p w14:paraId="61A4A95E" w14:textId="6511CAB6" w:rsidR="00ED3DDA" w:rsidRDefault="00ED3DD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3A5B"/>
    <w:multiLevelType w:val="hybridMultilevel"/>
    <w:tmpl w:val="F2FA1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E87"/>
    <w:multiLevelType w:val="hybridMultilevel"/>
    <w:tmpl w:val="78000E1C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122AED"/>
    <w:multiLevelType w:val="hybridMultilevel"/>
    <w:tmpl w:val="F6A4A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2B"/>
    <w:rsid w:val="00032EF7"/>
    <w:rsid w:val="00050F26"/>
    <w:rsid w:val="0008616A"/>
    <w:rsid w:val="000C0253"/>
    <w:rsid w:val="000C7AB3"/>
    <w:rsid w:val="000F6D40"/>
    <w:rsid w:val="00120157"/>
    <w:rsid w:val="001355E3"/>
    <w:rsid w:val="001444BC"/>
    <w:rsid w:val="00145EC5"/>
    <w:rsid w:val="0015235E"/>
    <w:rsid w:val="00155393"/>
    <w:rsid w:val="00172FF1"/>
    <w:rsid w:val="00191264"/>
    <w:rsid w:val="0019571A"/>
    <w:rsid w:val="001D5EF7"/>
    <w:rsid w:val="001E4419"/>
    <w:rsid w:val="001F5030"/>
    <w:rsid w:val="001F7FA7"/>
    <w:rsid w:val="00247215"/>
    <w:rsid w:val="00247D6E"/>
    <w:rsid w:val="002633D1"/>
    <w:rsid w:val="00281D03"/>
    <w:rsid w:val="002936AE"/>
    <w:rsid w:val="002B237A"/>
    <w:rsid w:val="002B3CEE"/>
    <w:rsid w:val="003341F7"/>
    <w:rsid w:val="00335C9F"/>
    <w:rsid w:val="003362D0"/>
    <w:rsid w:val="003E600D"/>
    <w:rsid w:val="00401D90"/>
    <w:rsid w:val="00403EE4"/>
    <w:rsid w:val="00427CEF"/>
    <w:rsid w:val="004D7AC2"/>
    <w:rsid w:val="0051686B"/>
    <w:rsid w:val="005348CF"/>
    <w:rsid w:val="005371B7"/>
    <w:rsid w:val="005A6D02"/>
    <w:rsid w:val="005E1BA6"/>
    <w:rsid w:val="005F0B19"/>
    <w:rsid w:val="005F3363"/>
    <w:rsid w:val="0060375E"/>
    <w:rsid w:val="006064DC"/>
    <w:rsid w:val="00636179"/>
    <w:rsid w:val="0067556A"/>
    <w:rsid w:val="00680410"/>
    <w:rsid w:val="007138DF"/>
    <w:rsid w:val="00733012"/>
    <w:rsid w:val="00736DD1"/>
    <w:rsid w:val="00741A90"/>
    <w:rsid w:val="00784F30"/>
    <w:rsid w:val="00790513"/>
    <w:rsid w:val="00796A2A"/>
    <w:rsid w:val="007B4181"/>
    <w:rsid w:val="007F5C10"/>
    <w:rsid w:val="0081116E"/>
    <w:rsid w:val="00811826"/>
    <w:rsid w:val="00843EB7"/>
    <w:rsid w:val="00880ADE"/>
    <w:rsid w:val="008A7D37"/>
    <w:rsid w:val="0095144D"/>
    <w:rsid w:val="00967A5C"/>
    <w:rsid w:val="00971CBE"/>
    <w:rsid w:val="009A18F4"/>
    <w:rsid w:val="009C78F8"/>
    <w:rsid w:val="009D1268"/>
    <w:rsid w:val="00A72682"/>
    <w:rsid w:val="00A76DA9"/>
    <w:rsid w:val="00A907A5"/>
    <w:rsid w:val="00B02D5F"/>
    <w:rsid w:val="00B4611E"/>
    <w:rsid w:val="00B617E4"/>
    <w:rsid w:val="00B953BD"/>
    <w:rsid w:val="00BE0D45"/>
    <w:rsid w:val="00BE6C29"/>
    <w:rsid w:val="00BF03F8"/>
    <w:rsid w:val="00C12605"/>
    <w:rsid w:val="00C31A72"/>
    <w:rsid w:val="00C63959"/>
    <w:rsid w:val="00C64F82"/>
    <w:rsid w:val="00CB4C00"/>
    <w:rsid w:val="00CB5784"/>
    <w:rsid w:val="00CD2D0F"/>
    <w:rsid w:val="00CE6B2B"/>
    <w:rsid w:val="00D03B78"/>
    <w:rsid w:val="00D230BF"/>
    <w:rsid w:val="00DA6C5A"/>
    <w:rsid w:val="00DD06A0"/>
    <w:rsid w:val="00DE0617"/>
    <w:rsid w:val="00E15E21"/>
    <w:rsid w:val="00E41C08"/>
    <w:rsid w:val="00E825ED"/>
    <w:rsid w:val="00E87D51"/>
    <w:rsid w:val="00ED3DDA"/>
    <w:rsid w:val="00EE2F28"/>
    <w:rsid w:val="00EF2869"/>
    <w:rsid w:val="00EF5831"/>
    <w:rsid w:val="00F03158"/>
    <w:rsid w:val="00F712EA"/>
    <w:rsid w:val="00F8546E"/>
    <w:rsid w:val="00FC59D3"/>
    <w:rsid w:val="00FC5D36"/>
    <w:rsid w:val="00FC61E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37E5"/>
  <w15:chartTrackingRefBased/>
  <w15:docId w15:val="{B5CFDC2C-BDB3-1D45-BD3C-F21B550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6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2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35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C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C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17E4"/>
  </w:style>
  <w:style w:type="character" w:styleId="FollowedHyperlink">
    <w:name w:val="FollowedHyperlink"/>
    <w:basedOn w:val="DefaultParagraphFont"/>
    <w:uiPriority w:val="99"/>
    <w:semiHidden/>
    <w:unhideWhenUsed/>
    <w:rsid w:val="00B617E4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0F6D40"/>
  </w:style>
  <w:style w:type="character" w:customStyle="1" w:styleId="pubyear">
    <w:name w:val="pubyear"/>
    <w:basedOn w:val="DefaultParagraphFont"/>
    <w:rsid w:val="000F6D40"/>
  </w:style>
  <w:style w:type="character" w:customStyle="1" w:styleId="articletitle">
    <w:name w:val="articletitle"/>
    <w:basedOn w:val="DefaultParagraphFont"/>
    <w:rsid w:val="000F6D40"/>
  </w:style>
  <w:style w:type="character" w:customStyle="1" w:styleId="vol">
    <w:name w:val="vol"/>
    <w:basedOn w:val="DefaultParagraphFont"/>
    <w:rsid w:val="000F6D40"/>
  </w:style>
  <w:style w:type="character" w:customStyle="1" w:styleId="pagefirst">
    <w:name w:val="pagefirst"/>
    <w:basedOn w:val="DefaultParagraphFont"/>
    <w:rsid w:val="000F6D40"/>
  </w:style>
  <w:style w:type="character" w:customStyle="1" w:styleId="pagelast">
    <w:name w:val="pagelast"/>
    <w:basedOn w:val="DefaultParagraphFont"/>
    <w:rsid w:val="000F6D4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50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5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0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03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D0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geography/research/projects/agri-environmental-governance-post-brexit/project-outputs" TargetMode="External"/><Relationship Id="rId13" Type="http://schemas.openxmlformats.org/officeDocument/2006/relationships/hyperlink" Target="https://figshare.shef.ac.uk/articles/Inclusive_design_of_post-Brexit_Agri-Environmental_Policy_Identifying_and_engaging_the_Harder_to_Reach_stakeholders_A_Quick_Scoping_Review/12506582" TargetMode="External"/><Relationship Id="rId18" Type="http://schemas.openxmlformats.org/officeDocument/2006/relationships/hyperlink" Target="https://www.researchgate.net/deref/http%3A%2F%2Fdx.doi.org%2F10.15131%2Fshef.data.11569620.v3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doi.org/10.15131/shef.data.12506123.v2" TargetMode="External"/><Relationship Id="rId17" Type="http://schemas.openxmlformats.org/officeDocument/2006/relationships/hyperlink" Target="https://doi.org/10.15131/shef.data.11569620.v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pan3.1005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gshare.shef.ac.uk/articles/Inclusive_design_of_post-Brexit_Agri-Environmental_Policy_Identifying_and_engaging_the_Harder_to_Reach_Stakeholders_An_Empirical_Study/12506123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26/science.1253425" TargetMode="External"/><Relationship Id="rId10" Type="http://schemas.openxmlformats.org/officeDocument/2006/relationships/hyperlink" Target="https://doi.org/10.31235/osf.io/k2ah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landusepol.2018.08.022" TargetMode="External"/><Relationship Id="rId14" Type="http://schemas.openxmlformats.org/officeDocument/2006/relationships/hyperlink" Target="https://doi.org/10.15131/shef.data.12506582.v3" TargetMode="Externa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rminguk.com/news/brexit-red-tape-and-digital-divide-threatens-success-of-elm-scheme_55931.html" TargetMode="External"/><Relationship Id="rId1" Type="http://schemas.openxmlformats.org/officeDocument/2006/relationships/hyperlink" Target="https://www.sheffield.ac.uk/geography/research/projects/agri-environmental-governance-post-brexit/project-outp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8DA62-D682-4969-A4FC-32144CA2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Burns</dc:creator>
  <cp:keywords/>
  <dc:description/>
  <cp:lastModifiedBy>Ruth Little</cp:lastModifiedBy>
  <cp:revision>2</cp:revision>
  <cp:lastPrinted>2020-09-01T09:45:00Z</cp:lastPrinted>
  <dcterms:created xsi:type="dcterms:W3CDTF">2020-09-11T14:37:00Z</dcterms:created>
  <dcterms:modified xsi:type="dcterms:W3CDTF">2020-09-11T14:37:00Z</dcterms:modified>
</cp:coreProperties>
</file>