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Pr>
        <w:drawing>
          <wp:inline distB="0" distT="0" distL="114300" distR="114300">
            <wp:extent cx="1922780" cy="768985"/>
            <wp:effectExtent b="0" l="0" r="0" t="0"/>
            <wp:docPr descr="tuoslogo_key_cmyk_med" id="1028" name="image1.jpg"/>
            <a:graphic>
              <a:graphicData uri="http://schemas.openxmlformats.org/drawingml/2006/picture">
                <pic:pic>
                  <pic:nvPicPr>
                    <pic:cNvPr descr="tuoslogo_key_cmyk_med" id="0" name="image1.jpg"/>
                    <pic:cNvPicPr preferRelativeResize="0"/>
                  </pic:nvPicPr>
                  <pic:blipFill>
                    <a:blip r:embed="rId7"/>
                    <a:srcRect b="0" l="0" r="0" t="0"/>
                    <a:stretch>
                      <a:fillRect/>
                    </a:stretch>
                  </pic:blipFill>
                  <pic:spPr>
                    <a:xfrm>
                      <a:off x="0" y="0"/>
                      <a:ext cx="1922780" cy="768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18"/>
          <w:szCs w:val="18"/>
          <w:vertAlign w:val="baseline"/>
        </w:rPr>
      </w:pPr>
      <w:r w:rsidDel="00000000" w:rsidR="00000000" w:rsidRPr="00000000">
        <w:rPr>
          <w:rtl w:val="0"/>
        </w:rPr>
      </w:r>
    </w:p>
    <w:tbl>
      <w:tblPr>
        <w:tblStyle w:val="Table1"/>
        <w:tblW w:w="1068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4"/>
        <w:gridCol w:w="7858"/>
        <w:tblGridChange w:id="0">
          <w:tblGrid>
            <w:gridCol w:w="2824"/>
            <w:gridCol w:w="7858"/>
          </w:tblGrid>
        </w:tblGridChange>
      </w:tblGrid>
      <w:tr>
        <w:trPr>
          <w:trHeight w:val="220" w:hRule="atLeast"/>
        </w:trPr>
        <w:tc>
          <w:tcPr>
            <w:vAlign w:val="top"/>
          </w:tcPr>
          <w:p w:rsidR="00000000" w:rsidDel="00000000" w:rsidP="00000000" w:rsidRDefault="00000000" w:rsidRPr="00000000" w14:paraId="00000003">
            <w:pPr>
              <w:rPr>
                <w:b w:val="0"/>
                <w:color w:val="002060"/>
                <w:vertAlign w:val="baseline"/>
              </w:rPr>
            </w:pPr>
            <w:r w:rsidDel="00000000" w:rsidR="00000000" w:rsidRPr="00000000">
              <w:rPr>
                <w:b w:val="1"/>
                <w:color w:val="002060"/>
                <w:vertAlign w:val="baseline"/>
                <w:rtl w:val="0"/>
              </w:rPr>
              <w:t xml:space="preserve">Job Title:</w:t>
            </w:r>
            <w:r w:rsidDel="00000000" w:rsidR="00000000" w:rsidRPr="00000000">
              <w:rPr>
                <w:rtl w:val="0"/>
              </w:rPr>
            </w:r>
          </w:p>
        </w:tc>
        <w:tc>
          <w:tcPr>
            <w:vAlign w:val="top"/>
          </w:tcPr>
          <w:p w:rsidR="00000000" w:rsidDel="00000000" w:rsidP="00000000" w:rsidRDefault="00000000" w:rsidRPr="00000000" w14:paraId="00000004">
            <w:pPr>
              <w:rPr>
                <w:vertAlign w:val="baseline"/>
              </w:rPr>
            </w:pPr>
            <w:r w:rsidDel="00000000" w:rsidR="00000000" w:rsidRPr="00000000">
              <w:rPr>
                <w:vertAlign w:val="baseline"/>
                <w:rtl w:val="0"/>
              </w:rPr>
              <w:t xml:space="preserve">Leverhulme Early Career Fellow</w:t>
            </w:r>
          </w:p>
        </w:tc>
      </w:tr>
      <w:tr>
        <w:trPr>
          <w:trHeight w:val="480" w:hRule="atLeast"/>
        </w:trPr>
        <w:tc>
          <w:tcPr>
            <w:vAlign w:val="top"/>
          </w:tcPr>
          <w:p w:rsidR="00000000" w:rsidDel="00000000" w:rsidP="00000000" w:rsidRDefault="00000000" w:rsidRPr="00000000" w14:paraId="00000005">
            <w:pPr>
              <w:rPr>
                <w:vertAlign w:val="baseline"/>
              </w:rPr>
            </w:pPr>
            <w:r w:rsidDel="00000000" w:rsidR="00000000" w:rsidRPr="00000000">
              <w:rPr>
                <w:b w:val="1"/>
                <w:color w:val="002060"/>
                <w:vertAlign w:val="baseline"/>
                <w:rtl w:val="0"/>
              </w:rPr>
              <w:t xml:space="preserve">Contract Type:</w:t>
            </w:r>
            <w:r w:rsidDel="00000000" w:rsidR="00000000" w:rsidRPr="00000000">
              <w:rPr>
                <w:b w:val="1"/>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vertAlign w:val="baseline"/>
                <w:rtl w:val="0"/>
              </w:rPr>
              <w:t xml:space="preserve">Fixed-term with a start date between 1 September 20</w:t>
            </w:r>
            <w:r w:rsidDel="00000000" w:rsidR="00000000" w:rsidRPr="00000000">
              <w:rPr>
                <w:rtl w:val="0"/>
              </w:rPr>
              <w:t xml:space="preserve">21</w:t>
            </w:r>
            <w:r w:rsidDel="00000000" w:rsidR="00000000" w:rsidRPr="00000000">
              <w:rPr>
                <w:vertAlign w:val="baseline"/>
                <w:rtl w:val="0"/>
              </w:rPr>
              <w:t xml:space="preserve"> and 1 May 202</w:t>
            </w:r>
            <w:r w:rsidDel="00000000" w:rsidR="00000000" w:rsidRPr="00000000">
              <w:rPr>
                <w:rtl w:val="0"/>
              </w:rPr>
              <w:t xml:space="preserve">2</w:t>
            </w:r>
            <w:r w:rsidDel="00000000" w:rsidR="00000000" w:rsidRPr="00000000">
              <w:rPr>
                <w:vertAlign w:val="baseline"/>
                <w:rtl w:val="0"/>
              </w:rPr>
              <w:t xml:space="preserve"> for a period of 36 months.</w:t>
            </w:r>
          </w:p>
        </w:tc>
      </w:tr>
      <w:tr>
        <w:tc>
          <w:tcPr>
            <w:vAlign w:val="top"/>
          </w:tcPr>
          <w:p w:rsidR="00000000" w:rsidDel="00000000" w:rsidP="00000000" w:rsidRDefault="00000000" w:rsidRPr="00000000" w14:paraId="00000007">
            <w:pPr>
              <w:rPr>
                <w:vertAlign w:val="baseline"/>
              </w:rPr>
            </w:pPr>
            <w:r w:rsidDel="00000000" w:rsidR="00000000" w:rsidRPr="00000000">
              <w:rPr>
                <w:b w:val="1"/>
                <w:color w:val="002060"/>
                <w:vertAlign w:val="baseline"/>
                <w:rtl w:val="0"/>
              </w:rPr>
              <w:t xml:space="preserve">Faculty:</w:t>
            </w:r>
            <w:r w:rsidDel="00000000" w:rsidR="00000000" w:rsidRPr="00000000">
              <w:rPr>
                <w:b w:val="1"/>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08">
            <w:pPr>
              <w:rPr>
                <w:vertAlign w:val="baseline"/>
              </w:rPr>
            </w:pPr>
            <w:r w:rsidDel="00000000" w:rsidR="00000000" w:rsidRPr="00000000">
              <w:rPr>
                <w:vertAlign w:val="baseline"/>
                <w:rtl w:val="0"/>
              </w:rPr>
              <w:t xml:space="preserve">Faculty of Arts and Humanities</w:t>
            </w:r>
          </w:p>
        </w:tc>
      </w:tr>
      <w:tr>
        <w:tc>
          <w:tcPr>
            <w:vAlign w:val="top"/>
          </w:tcPr>
          <w:p w:rsidR="00000000" w:rsidDel="00000000" w:rsidP="00000000" w:rsidRDefault="00000000" w:rsidRPr="00000000" w14:paraId="00000009">
            <w:pPr>
              <w:rPr>
                <w:b w:val="0"/>
                <w:color w:val="002060"/>
                <w:vertAlign w:val="baseline"/>
              </w:rPr>
            </w:pPr>
            <w:r w:rsidDel="00000000" w:rsidR="00000000" w:rsidRPr="00000000">
              <w:rPr>
                <w:b w:val="1"/>
                <w:color w:val="002060"/>
                <w:vertAlign w:val="baseline"/>
                <w:rtl w:val="0"/>
              </w:rPr>
              <w:t xml:space="preserve">Department:</w:t>
            </w: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tc>
        <w:tc>
          <w:tcPr>
            <w:vAlign w:val="top"/>
          </w:tcPr>
          <w:p w:rsidR="00000000" w:rsidDel="00000000" w:rsidP="00000000" w:rsidRDefault="00000000" w:rsidRPr="00000000" w14:paraId="0000000B">
            <w:pPr>
              <w:rPr>
                <w:vertAlign w:val="baseline"/>
              </w:rPr>
            </w:pPr>
            <w:r w:rsidDel="00000000" w:rsidR="00000000" w:rsidRPr="00000000">
              <w:rPr>
                <w:vertAlign w:val="baseline"/>
                <w:rtl w:val="0"/>
              </w:rPr>
              <w:t xml:space="preserve">Candidates are welcome to submit applications to hold this post</w:t>
            </w:r>
            <w:r w:rsidDel="00000000" w:rsidR="00000000" w:rsidRPr="00000000">
              <w:rPr>
                <w:color w:val="ff0000"/>
                <w:vertAlign w:val="baseline"/>
                <w:rtl w:val="0"/>
              </w:rPr>
              <w:t xml:space="preserve"> </w:t>
            </w:r>
            <w:r w:rsidDel="00000000" w:rsidR="00000000" w:rsidRPr="00000000">
              <w:rPr>
                <w:vertAlign w:val="baseline"/>
                <w:rtl w:val="0"/>
              </w:rPr>
              <w:t xml:space="preserve">in any of the schools or departments within the Faculty of Arts and Humanities </w:t>
            </w:r>
          </w:p>
        </w:tc>
      </w:tr>
      <w:tr>
        <w:tc>
          <w:tcPr>
            <w:vAlign w:val="top"/>
          </w:tcPr>
          <w:p w:rsidR="00000000" w:rsidDel="00000000" w:rsidP="00000000" w:rsidRDefault="00000000" w:rsidRPr="00000000" w14:paraId="0000000C">
            <w:pPr>
              <w:rPr>
                <w:b w:val="0"/>
                <w:color w:val="002060"/>
                <w:vertAlign w:val="baseline"/>
              </w:rPr>
            </w:pPr>
            <w:r w:rsidDel="00000000" w:rsidR="00000000" w:rsidRPr="00000000">
              <w:rPr>
                <w:b w:val="1"/>
                <w:color w:val="002060"/>
                <w:vertAlign w:val="baseline"/>
                <w:rtl w:val="0"/>
              </w:rPr>
              <w:t xml:space="preserve">Salary:</w:t>
            </w:r>
            <w:r w:rsidDel="00000000" w:rsidR="00000000" w:rsidRPr="00000000">
              <w:rPr>
                <w:rtl w:val="0"/>
              </w:rPr>
            </w:r>
          </w:p>
        </w:tc>
        <w:tc>
          <w:tcPr>
            <w:vAlign w:val="top"/>
          </w:tcPr>
          <w:p w:rsidR="00000000" w:rsidDel="00000000" w:rsidP="00000000" w:rsidRDefault="00000000" w:rsidRPr="00000000" w14:paraId="0000000D">
            <w:pPr>
              <w:rPr>
                <w:vertAlign w:val="baseline"/>
              </w:rPr>
            </w:pPr>
            <w:r w:rsidDel="00000000" w:rsidR="00000000" w:rsidRPr="00000000">
              <w:rPr>
                <w:vertAlign w:val="baseline"/>
                <w:rtl w:val="0"/>
              </w:rPr>
              <w:t xml:space="preserve">Grade 7.</w:t>
            </w:r>
            <w:r w:rsidDel="00000000" w:rsidR="00000000" w:rsidRPr="00000000">
              <w:rPr>
                <w:rtl w:val="0"/>
              </w:rPr>
              <w:t xml:space="preserve">1</w:t>
            </w:r>
            <w:r w:rsidDel="00000000" w:rsidR="00000000" w:rsidRPr="00000000">
              <w:rPr>
                <w:vertAlign w:val="baseline"/>
                <w:rtl w:val="0"/>
              </w:rPr>
              <w:t xml:space="preserve">  £31,</w:t>
            </w:r>
            <w:r w:rsidDel="00000000" w:rsidR="00000000" w:rsidRPr="00000000">
              <w:rPr>
                <w:rtl w:val="0"/>
              </w:rPr>
              <w:t xml:space="preserve">866</w:t>
            </w:r>
            <w:r w:rsidDel="00000000" w:rsidR="00000000" w:rsidRPr="00000000">
              <w:rPr>
                <w:vertAlign w:val="baseline"/>
                <w:rtl w:val="0"/>
              </w:rPr>
              <w:t xml:space="preserve"> per annum</w:t>
            </w:r>
          </w:p>
        </w:tc>
      </w:tr>
      <w:tr>
        <w:trPr>
          <w:trHeight w:val="280" w:hRule="atLeast"/>
        </w:trPr>
        <w:tc>
          <w:tcPr>
            <w:vAlign w:val="top"/>
          </w:tcPr>
          <w:p w:rsidR="00000000" w:rsidDel="00000000" w:rsidP="00000000" w:rsidRDefault="00000000" w:rsidRPr="00000000" w14:paraId="0000000E">
            <w:pPr>
              <w:rPr>
                <w:b w:val="0"/>
                <w:color w:val="002060"/>
                <w:vertAlign w:val="baseline"/>
              </w:rPr>
            </w:pPr>
            <w:r w:rsidDel="00000000" w:rsidR="00000000" w:rsidRPr="00000000">
              <w:rPr>
                <w:b w:val="1"/>
                <w:color w:val="002060"/>
                <w:vertAlign w:val="baseline"/>
                <w:rtl w:val="0"/>
              </w:rPr>
              <w:t xml:space="preserve">Closing Date:</w:t>
            </w:r>
            <w:r w:rsidDel="00000000" w:rsidR="00000000" w:rsidRPr="00000000">
              <w:rPr>
                <w:rtl w:val="0"/>
              </w:rPr>
            </w:r>
          </w:p>
        </w:tc>
        <w:tc>
          <w:tcPr>
            <w:vAlign w:val="top"/>
          </w:tcPr>
          <w:p w:rsidR="00000000" w:rsidDel="00000000" w:rsidP="00000000" w:rsidRDefault="00000000" w:rsidRPr="00000000" w14:paraId="0000000F">
            <w:pPr>
              <w:rPr>
                <w:vertAlign w:val="baseline"/>
              </w:rPr>
            </w:pPr>
            <w:r w:rsidDel="00000000" w:rsidR="00000000" w:rsidRPr="00000000">
              <w:rPr>
                <w:rtl w:val="0"/>
              </w:rPr>
              <w:t xml:space="preserve">4th</w:t>
            </w:r>
            <w:r w:rsidDel="00000000" w:rsidR="00000000" w:rsidRPr="00000000">
              <w:rPr>
                <w:vertAlign w:val="baseline"/>
                <w:rtl w:val="0"/>
              </w:rPr>
              <w:t xml:space="preserve"> December 20</w:t>
            </w:r>
            <w:r w:rsidDel="00000000" w:rsidR="00000000" w:rsidRPr="00000000">
              <w:rPr>
                <w:rtl w:val="0"/>
              </w:rPr>
              <w:t xml:space="preserve">20</w:t>
            </w:r>
            <w:r w:rsidDel="00000000" w:rsidR="00000000" w:rsidRPr="00000000">
              <w:rPr>
                <w:rtl w:val="0"/>
              </w:rPr>
            </w:r>
          </w:p>
        </w:tc>
      </w:tr>
    </w:tbl>
    <w:p w:rsidR="00000000" w:rsidDel="00000000" w:rsidP="00000000" w:rsidRDefault="00000000" w:rsidRPr="00000000" w14:paraId="00000010">
      <w:pPr>
        <w:rPr>
          <w:sz w:val="18"/>
          <w:szCs w:val="18"/>
          <w:vertAlign w:val="baseline"/>
        </w:rPr>
      </w:pPr>
      <w:r w:rsidDel="00000000" w:rsidR="00000000" w:rsidRPr="00000000">
        <w:rPr>
          <w:rtl w:val="0"/>
        </w:rPr>
      </w:r>
    </w:p>
    <w:p w:rsidR="00000000" w:rsidDel="00000000" w:rsidP="00000000" w:rsidRDefault="00000000" w:rsidRPr="00000000" w14:paraId="00000011">
      <w:pPr>
        <w:rPr>
          <w:b w:val="0"/>
          <w:color w:val="002060"/>
          <w:vertAlign w:val="baseline"/>
        </w:rPr>
      </w:pPr>
      <w:r w:rsidDel="00000000" w:rsidR="00000000" w:rsidRPr="00000000">
        <w:rPr>
          <w:b w:val="1"/>
          <w:color w:val="002060"/>
          <w:vertAlign w:val="baseline"/>
          <w:rtl w:val="0"/>
        </w:rPr>
        <w:t xml:space="preserve">Summary:</w:t>
      </w:r>
      <w:r w:rsidDel="00000000" w:rsidR="00000000" w:rsidRPr="00000000">
        <w:rPr>
          <w:rtl w:val="0"/>
        </w:rPr>
      </w:r>
    </w:p>
    <w:p w:rsidR="00000000" w:rsidDel="00000000" w:rsidP="00000000" w:rsidRDefault="00000000" w:rsidRPr="00000000" w14:paraId="00000012">
      <w:pPr>
        <w:rPr>
          <w:b w:val="0"/>
          <w:color w:val="002060"/>
          <w:vertAlign w:val="baseline"/>
        </w:rPr>
      </w:pPr>
      <w:r w:rsidDel="00000000" w:rsidR="00000000" w:rsidRPr="00000000">
        <w:rPr>
          <w:rtl w:val="0"/>
        </w:rPr>
      </w:r>
    </w:p>
    <w:p w:rsidR="00000000" w:rsidDel="00000000" w:rsidP="00000000" w:rsidRDefault="00000000" w:rsidRPr="00000000" w14:paraId="00000013">
      <w:pPr>
        <w:widowControl w:val="0"/>
        <w:spacing w:line="276" w:lineRule="auto"/>
        <w:jc w:val="both"/>
        <w:rPr>
          <w:color w:val="000000"/>
          <w:vertAlign w:val="baseline"/>
        </w:rPr>
      </w:pPr>
      <w:r w:rsidDel="00000000" w:rsidR="00000000" w:rsidRPr="00000000">
        <w:rPr>
          <w:vertAlign w:val="baseline"/>
          <w:rtl w:val="0"/>
        </w:rPr>
        <w:t xml:space="preserve">The Faculty of Arts and Humanities at the University of Sheffield comprises four departments and </w:t>
      </w:r>
      <w:r w:rsidDel="00000000" w:rsidR="00000000" w:rsidRPr="00000000">
        <w:rPr>
          <w:rtl w:val="0"/>
        </w:rPr>
        <w:t xml:space="preserve">three</w:t>
      </w:r>
      <w:r w:rsidDel="00000000" w:rsidR="00000000" w:rsidRPr="00000000">
        <w:rPr>
          <w:vertAlign w:val="baseline"/>
          <w:rtl w:val="0"/>
        </w:rPr>
        <w:t xml:space="preserve"> schools: Archaeology, History, Philosophy, Music, the School of East Asian Studies, the School of English and the School of Languages and Cultures.  We critically reflect on all aspects of human society and culture (past, present, and future) and on the process of reflection itself.  We investigate cultures and languages near and far, their ideas, texts, artefacts and landscapes.  We aim to create the cultural capital of the future.  Working individually and collaboratively, we continually develop innovative methods of enquiry within and across disciplines.  Our openness to enquiry and independence in asking and answering questions, enables further understanding, allows us to work creatively and enhances our disciplines.</w:t>
      </w:r>
      <w:r w:rsidDel="00000000" w:rsidR="00000000" w:rsidRPr="00000000">
        <w:rPr>
          <w:color w:val="000000"/>
          <w:vertAlign w:val="baseline"/>
          <w:rtl w:val="0"/>
        </w:rPr>
        <w:t xml:space="preserve"> </w:t>
      </w:r>
    </w:p>
    <w:p w:rsidR="00000000" w:rsidDel="00000000" w:rsidP="00000000" w:rsidRDefault="00000000" w:rsidRPr="00000000" w14:paraId="00000014">
      <w:pPr>
        <w:widowControl w:val="0"/>
        <w:spacing w:line="276" w:lineRule="auto"/>
        <w:jc w:val="both"/>
        <w:rPr>
          <w:color w:val="000000"/>
          <w:vertAlign w:val="baseline"/>
        </w:rPr>
      </w:pPr>
      <w:r w:rsidDel="00000000" w:rsidR="00000000" w:rsidRPr="00000000">
        <w:rPr>
          <w:rtl w:val="0"/>
        </w:rPr>
      </w:r>
    </w:p>
    <w:p w:rsidR="00000000" w:rsidDel="00000000" w:rsidP="00000000" w:rsidRDefault="00000000" w:rsidRPr="00000000" w14:paraId="00000015">
      <w:pPr>
        <w:widowControl w:val="0"/>
        <w:spacing w:line="276" w:lineRule="auto"/>
        <w:jc w:val="both"/>
        <w:rPr>
          <w:color w:val="000000"/>
          <w:vertAlign w:val="baseline"/>
        </w:rPr>
      </w:pPr>
      <w:r w:rsidDel="00000000" w:rsidR="00000000" w:rsidRPr="00000000">
        <w:rPr>
          <w:color w:val="000000"/>
          <w:vertAlign w:val="baseline"/>
          <w:rtl w:val="0"/>
        </w:rPr>
        <w:t xml:space="preserve">The Faculty of Arts and Humanities will support up to </w:t>
      </w:r>
      <w:r w:rsidDel="00000000" w:rsidR="00000000" w:rsidRPr="00000000">
        <w:rPr>
          <w:rtl w:val="0"/>
        </w:rPr>
        <w:t xml:space="preserve">seven</w:t>
      </w:r>
      <w:r w:rsidDel="00000000" w:rsidR="00000000" w:rsidRPr="00000000">
        <w:rPr>
          <w:vertAlign w:val="baseline"/>
          <w:rtl w:val="0"/>
        </w:rPr>
        <w:t xml:space="preserve"> applicants for the current round of Leverhulme Early Career Fellowships, in one or more of the following fields: Archaeology, East Asian </w:t>
      </w:r>
      <w:r w:rsidDel="00000000" w:rsidR="00000000" w:rsidRPr="00000000">
        <w:rPr>
          <w:rtl w:val="0"/>
        </w:rPr>
        <w:t xml:space="preserve">Studies, </w:t>
      </w:r>
      <w:r w:rsidDel="00000000" w:rsidR="00000000" w:rsidRPr="00000000">
        <w:rPr>
          <w:vertAlign w:val="baseline"/>
          <w:rtl w:val="0"/>
        </w:rPr>
        <w:t xml:space="preserve">English, History, Philosophy, Music, and Modern Languages and Cultures. </w:t>
      </w:r>
      <w:r w:rsidDel="00000000" w:rsidR="00000000" w:rsidRPr="00000000">
        <w:rPr>
          <w:color w:val="000000"/>
          <w:vertAlign w:val="baseline"/>
          <w:rtl w:val="0"/>
        </w:rPr>
        <w:t xml:space="preserve"> Applicants with a proven track record of research and high quality research proposals will be selected for support on the basis of their fit with both the Leverhulme Trust's expectations and Departmental and Faculty strategic priorities.</w:t>
      </w:r>
    </w:p>
    <w:p w:rsidR="00000000" w:rsidDel="00000000" w:rsidP="00000000" w:rsidRDefault="00000000" w:rsidRPr="00000000" w14:paraId="00000016">
      <w:pPr>
        <w:widowControl w:val="0"/>
        <w:spacing w:line="276" w:lineRule="auto"/>
        <w:jc w:val="both"/>
        <w:rPr>
          <w:vertAlign w:val="baseline"/>
        </w:rPr>
      </w:pPr>
      <w:r w:rsidDel="00000000" w:rsidR="00000000" w:rsidRPr="00000000">
        <w:rPr>
          <w:rtl w:val="0"/>
        </w:rPr>
      </w:r>
    </w:p>
    <w:p w:rsidR="00000000" w:rsidDel="00000000" w:rsidP="00000000" w:rsidRDefault="00000000" w:rsidRPr="00000000" w14:paraId="00000017">
      <w:pPr>
        <w:widowControl w:val="0"/>
        <w:spacing w:line="276" w:lineRule="auto"/>
        <w:jc w:val="both"/>
        <w:rPr>
          <w:vertAlign w:val="baseline"/>
        </w:rPr>
      </w:pPr>
      <w:r w:rsidDel="00000000" w:rsidR="00000000" w:rsidRPr="00000000">
        <w:rPr>
          <w:vertAlign w:val="baseline"/>
          <w:rtl w:val="0"/>
        </w:rPr>
        <w:t xml:space="preserve">Leverhulme Fellows will undertake a significant piece of publishable work during their tenure and conduct a programme of high quality research in line with the Leverhulme project proposal.    </w:t>
      </w:r>
    </w:p>
    <w:p w:rsidR="00000000" w:rsidDel="00000000" w:rsidP="00000000" w:rsidRDefault="00000000" w:rsidRPr="00000000" w14:paraId="00000018">
      <w:pPr>
        <w:widowControl w:val="0"/>
        <w:spacing w:line="276" w:lineRule="auto"/>
        <w:jc w:val="both"/>
        <w:rPr>
          <w:vertAlign w:val="baseline"/>
        </w:rPr>
      </w:pPr>
      <w:r w:rsidDel="00000000" w:rsidR="00000000" w:rsidRPr="00000000">
        <w:rPr>
          <w:rtl w:val="0"/>
        </w:rPr>
      </w:r>
    </w:p>
    <w:p w:rsidR="00000000" w:rsidDel="00000000" w:rsidP="00000000" w:rsidRDefault="00000000" w:rsidRPr="00000000" w14:paraId="00000019">
      <w:pPr>
        <w:widowControl w:val="0"/>
        <w:spacing w:line="276" w:lineRule="auto"/>
        <w:rPr>
          <w:vertAlign w:val="baseline"/>
        </w:rPr>
      </w:pPr>
      <w:r w:rsidDel="00000000" w:rsidR="00000000" w:rsidRPr="00000000">
        <w:rPr>
          <w:vertAlign w:val="baseline"/>
          <w:rtl w:val="0"/>
        </w:rPr>
        <w:t xml:space="preserve">These are fixed-term appointments for a 36-month duration.  The Fellowship must commence between 1 September 20</w:t>
      </w:r>
      <w:r w:rsidDel="00000000" w:rsidR="00000000" w:rsidRPr="00000000">
        <w:rPr>
          <w:rtl w:val="0"/>
        </w:rPr>
        <w:t xml:space="preserve">21</w:t>
      </w:r>
      <w:r w:rsidDel="00000000" w:rsidR="00000000" w:rsidRPr="00000000">
        <w:rPr>
          <w:vertAlign w:val="baseline"/>
          <w:rtl w:val="0"/>
        </w:rPr>
        <w:t xml:space="preserve"> and 1 May 202</w:t>
      </w:r>
      <w:r w:rsidDel="00000000" w:rsidR="00000000" w:rsidRPr="00000000">
        <w:rPr>
          <w:rtl w:val="0"/>
        </w:rPr>
        <w:t xml:space="preserve">2</w:t>
      </w:r>
      <w:r w:rsidDel="00000000" w:rsidR="00000000" w:rsidRPr="00000000">
        <w:rPr>
          <w:vertAlign w:val="baseline"/>
          <w:rtl w:val="0"/>
        </w:rPr>
        <w:t xml:space="preserve">. Appointments are dependent on the successful award of the Leverhulme Fellowship.</w:t>
      </w:r>
    </w:p>
    <w:p w:rsidR="00000000" w:rsidDel="00000000" w:rsidP="00000000" w:rsidRDefault="00000000" w:rsidRPr="00000000" w14:paraId="0000001A">
      <w:pPr>
        <w:widowControl w:val="0"/>
        <w:spacing w:line="276" w:lineRule="auto"/>
        <w:rPr>
          <w:vertAlign w:val="baseline"/>
        </w:rPr>
      </w:pPr>
      <w:r w:rsidDel="00000000" w:rsidR="00000000" w:rsidRPr="00000000">
        <w:rPr>
          <w:rtl w:val="0"/>
        </w:rPr>
      </w:r>
    </w:p>
    <w:p w:rsidR="00000000" w:rsidDel="00000000" w:rsidP="00000000" w:rsidRDefault="00000000" w:rsidRPr="00000000" w14:paraId="0000001B">
      <w:pPr>
        <w:widowControl w:val="0"/>
        <w:spacing w:line="276" w:lineRule="auto"/>
        <w:jc w:val="both"/>
        <w:rPr>
          <w:vertAlign w:val="baseline"/>
        </w:rPr>
      </w:pPr>
      <w:r w:rsidDel="00000000" w:rsidR="00000000" w:rsidRPr="00000000">
        <w:rPr>
          <w:vertAlign w:val="baseline"/>
          <w:rtl w:val="0"/>
        </w:rPr>
        <w:t xml:space="preserve">If you are interested in applying, you must first check that you meet the Leverhulme Trust's eligibility criteria. These can be found </w:t>
      </w:r>
      <w:hyperlink r:id="rId8">
        <w:r w:rsidDel="00000000" w:rsidR="00000000" w:rsidRPr="00000000">
          <w:rPr>
            <w:color w:val="0000ff"/>
            <w:u w:val="single"/>
            <w:vertAlign w:val="baseline"/>
            <w:rtl w:val="0"/>
          </w:rPr>
          <w:t xml:space="preserve">here</w:t>
        </w:r>
      </w:hyperlink>
      <w:r w:rsidDel="00000000" w:rsidR="00000000" w:rsidRPr="00000000">
        <w:rPr>
          <w:vertAlign w:val="baseline"/>
          <w:rtl w:val="0"/>
        </w:rPr>
        <w:t xml:space="preserve">. </w:t>
      </w:r>
    </w:p>
    <w:p w:rsidR="00000000" w:rsidDel="00000000" w:rsidP="00000000" w:rsidRDefault="00000000" w:rsidRPr="00000000" w14:paraId="0000001C">
      <w:pPr>
        <w:widowControl w:val="0"/>
        <w:spacing w:line="276" w:lineRule="auto"/>
        <w:jc w:val="both"/>
        <w:rPr/>
      </w:pPr>
      <w:r w:rsidDel="00000000" w:rsidR="00000000" w:rsidRPr="00000000">
        <w:rPr>
          <w:rtl w:val="0"/>
        </w:rPr>
      </w:r>
    </w:p>
    <w:p w:rsidR="00000000" w:rsidDel="00000000" w:rsidP="00000000" w:rsidRDefault="00000000" w:rsidRPr="00000000" w14:paraId="0000001D">
      <w:pPr>
        <w:widowControl w:val="0"/>
        <w:spacing w:line="276" w:lineRule="auto"/>
        <w:jc w:val="both"/>
        <w:rPr>
          <w:color w:val="ff0000"/>
        </w:rPr>
      </w:pPr>
      <w:r w:rsidDel="00000000" w:rsidR="00000000" w:rsidRPr="00000000">
        <w:rPr>
          <w:rtl w:val="0"/>
        </w:rPr>
        <w:t xml:space="preserve">To apply, contact the relevant Departmental Director of Research and Innovation for the School/Department of choice, see information </w:t>
      </w:r>
      <w:hyperlink r:id="rId9">
        <w:r w:rsidDel="00000000" w:rsidR="00000000" w:rsidRPr="00000000">
          <w:rPr>
            <w:color w:val="1155cc"/>
            <w:u w:val="single"/>
            <w:rtl w:val="0"/>
          </w:rPr>
          <w:t xml:space="preserve">here</w:t>
        </w:r>
      </w:hyperlink>
      <w:r w:rsidDel="00000000" w:rsidR="00000000" w:rsidRPr="00000000">
        <w:rPr>
          <w:rtl w:val="0"/>
        </w:rPr>
        <w:t xml:space="preserve">.  This includes </w:t>
      </w:r>
      <w:r w:rsidDel="00000000" w:rsidR="00000000" w:rsidRPr="00000000">
        <w:rPr>
          <w:vertAlign w:val="baseline"/>
          <w:rtl w:val="0"/>
        </w:rPr>
        <w:t xml:space="preserve">further information about the Leverhulme Early Career Fellowship process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widowControl w:val="0"/>
        <w:spacing w:line="276" w:lineRule="auto"/>
        <w:rPr/>
      </w:pPr>
      <w:r w:rsidDel="00000000" w:rsidR="00000000" w:rsidRPr="00000000">
        <w:rPr>
          <w:rtl w:val="0"/>
        </w:rPr>
      </w:r>
    </w:p>
    <w:p w:rsidR="00000000" w:rsidDel="00000000" w:rsidP="00000000" w:rsidRDefault="00000000" w:rsidRPr="00000000" w14:paraId="0000001F">
      <w:pPr>
        <w:widowControl w:val="0"/>
        <w:spacing w:line="276" w:lineRule="auto"/>
        <w:rPr>
          <w:vertAlign w:val="baseline"/>
        </w:rPr>
      </w:pPr>
      <w:r w:rsidDel="00000000" w:rsidR="00000000" w:rsidRPr="00000000">
        <w:rPr>
          <w:vertAlign w:val="baseline"/>
          <w:rtl w:val="0"/>
        </w:rPr>
        <w:t xml:space="preserve">For other Early-career Fellowship opportunities at Sheffield visit:</w:t>
      </w:r>
    </w:p>
    <w:p w:rsidR="00000000" w:rsidDel="00000000" w:rsidP="00000000" w:rsidRDefault="00000000" w:rsidRPr="00000000" w14:paraId="00000020">
      <w:pPr>
        <w:widowControl w:val="0"/>
        <w:spacing w:line="276" w:lineRule="auto"/>
        <w:rPr>
          <w:vertAlign w:val="baseline"/>
        </w:rPr>
      </w:pPr>
      <w:hyperlink r:id="rId10">
        <w:r w:rsidDel="00000000" w:rsidR="00000000" w:rsidRPr="00000000">
          <w:rPr>
            <w:color w:val="0000ff"/>
            <w:u w:val="single"/>
            <w:vertAlign w:val="baseline"/>
            <w:rtl w:val="0"/>
          </w:rPr>
          <w:t xml:space="preserve">http://www.sheffield.ac.uk/faculty/arts-and-humanities/research-innovation/early-career-fellowships</w:t>
        </w:r>
      </w:hyperlink>
      <w:r w:rsidDel="00000000" w:rsidR="00000000" w:rsidRPr="00000000">
        <w:rPr>
          <w:rtl w:val="0"/>
        </w:rPr>
      </w:r>
    </w:p>
    <w:p w:rsidR="00000000" w:rsidDel="00000000" w:rsidP="00000000" w:rsidRDefault="00000000" w:rsidRPr="00000000" w14:paraId="00000021">
      <w:pPr>
        <w:widowControl w:val="0"/>
        <w:spacing w:line="276" w:lineRule="auto"/>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We’re one of the best not-for-profit organisations to work for in the UK. The University’s Total Reward Package includes a competitive salary, a generous Pension Scheme and annual leave entitlement, as well as access to a range of learning and development courses to support your personal and professional development.</w:t>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We build teams of people from different heritages and lifestyles from across the world, whose talent and contributions complement each other to greatest effect. We believe diversity in all its forms delivers greater impact through research, teaching and student experience.</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jc w:val="both"/>
        <w:rPr>
          <w:vertAlign w:val="baseline"/>
        </w:rPr>
      </w:pPr>
      <w:r w:rsidDel="00000000" w:rsidR="00000000" w:rsidRPr="00000000">
        <w:rPr>
          <w:vertAlign w:val="baseline"/>
          <w:rtl w:val="0"/>
        </w:rPr>
        <w:t xml:space="preserve">Follow @sheffielduni and @ShefUniJobs on Twitter for more information about what makes the University of Sheffield a remarkable place to work. </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TUOS Blak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UOS Blake" w:cs="TUOS Blake" w:eastAsia="TUOS Blake" w:hAnsi="TUOS Blake"/>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UOS Blake" w:hAnsi="TUOS Blake"/>
      <w:w w:val="100"/>
      <w:position w:val="-1"/>
      <w:sz w:val="22"/>
      <w:szCs w:val="22"/>
      <w:effect w:val="none"/>
      <w:vertAlign w:val="baseline"/>
      <w:cs w:val="0"/>
      <w:em w:val="none"/>
      <w:lang w:bidi="ar-SA" w:eastAsia="zh-CN" w:val="en-GB"/>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New Roman" w:eastAsia="Times New Roman" w:hAnsi="Times New Roman"/>
      <w:b w:val="1"/>
      <w:bCs w:val="1"/>
      <w:w w:val="100"/>
      <w:position w:val="-1"/>
      <w:sz w:val="27"/>
      <w:szCs w:val="27"/>
      <w:effect w:val="none"/>
      <w:vertAlign w:val="baseline"/>
      <w:cs w:val="0"/>
      <w:em w:val="none"/>
      <w:lang w:bidi="ar-SA" w:eastAsia="zh-CN"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MediumGrid1-Accent2">
    <w:name w:val="Medium Grid 1 - Accent 2"/>
    <w:basedOn w:val="Normal"/>
    <w:next w:val="MediumGrid1-Accent2"/>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UOS Blake" w:hAnsi="TUOS Blake"/>
      <w:w w:val="100"/>
      <w:position w:val="-1"/>
      <w:sz w:val="22"/>
      <w:szCs w:val="22"/>
      <w:effect w:val="none"/>
      <w:vertAlign w:val="baseline"/>
      <w:cs w:val="0"/>
      <w:em w:val="none"/>
      <w:lang w:bidi="ar-SA" w:eastAsia="zh-CN" w:val="en-GB"/>
    </w:rPr>
  </w:style>
  <w:style w:type="character" w:styleId="Heading3Char">
    <w:name w:val="Heading 3 Char"/>
    <w:next w:val="Heading3Char"/>
    <w:autoRedefine w:val="0"/>
    <w:hidden w:val="0"/>
    <w:qFormat w:val="0"/>
    <w:rPr>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zh-CN" w:val="en-GB"/>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TUOS Blake" w:hAnsi="TUOS Blake"/>
      <w:w w:val="100"/>
      <w:position w:val="-1"/>
      <w:sz w:val="22"/>
      <w:szCs w:val="22"/>
      <w:effect w:val="none"/>
      <w:vertAlign w:val="baseline"/>
      <w:cs w:val="0"/>
      <w:em w:val="none"/>
      <w:lang w:bidi="ar-SA" w:eastAsia="zh-CN" w:val="en-GB"/>
    </w:rPr>
  </w:style>
  <w:style w:type="character" w:styleId="HeaderChar">
    <w:name w:val="Header Char"/>
    <w:next w:val="HeaderChar"/>
    <w:autoRedefine w:val="0"/>
    <w:hidden w:val="0"/>
    <w:qFormat w:val="0"/>
    <w:rPr>
      <w:rFonts w:ascii="TUOS Blake" w:hAnsi="TUOS Blake"/>
      <w:w w:val="100"/>
      <w:position w:val="-1"/>
      <w:sz w:val="22"/>
      <w:szCs w:val="22"/>
      <w:effect w:val="none"/>
      <w:vertAlign w:val="baseline"/>
      <w:cs w:val="0"/>
      <w:em w:val="none"/>
      <w:lang/>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TUOS Blake" w:hAnsi="TUOS Blake"/>
      <w:w w:val="100"/>
      <w:position w:val="-1"/>
      <w:sz w:val="22"/>
      <w:szCs w:val="22"/>
      <w:effect w:val="none"/>
      <w:vertAlign w:val="baseline"/>
      <w:cs w:val="0"/>
      <w:em w:val="none"/>
      <w:lang w:bidi="ar-SA" w:eastAsia="zh-CN" w:val="en-GB"/>
    </w:rPr>
  </w:style>
  <w:style w:type="character" w:styleId="FooterChar">
    <w:name w:val="Footer Char"/>
    <w:next w:val="FooterChar"/>
    <w:autoRedefine w:val="0"/>
    <w:hidden w:val="0"/>
    <w:qFormat w:val="0"/>
    <w:rPr>
      <w:rFonts w:ascii="TUOS Blake" w:hAnsi="TUOS Blake"/>
      <w:w w:val="100"/>
      <w:position w:val="-1"/>
      <w:sz w:val="22"/>
      <w:szCs w:val="22"/>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TUOS Blake" w:hAnsi="TUOS Blake"/>
      <w:w w:val="100"/>
      <w:position w:val="-1"/>
      <w:sz w:val="20"/>
      <w:szCs w:val="20"/>
      <w:effect w:val="none"/>
      <w:vertAlign w:val="baseline"/>
      <w:cs w:val="0"/>
      <w:em w:val="none"/>
      <w:lang w:bidi="ar-SA" w:eastAsia="zh-CN" w:val="en-GB"/>
    </w:rPr>
  </w:style>
  <w:style w:type="character" w:styleId="CommentTextChar">
    <w:name w:val="Comment Text Char"/>
    <w:next w:val="CommentTextChar"/>
    <w:autoRedefine w:val="0"/>
    <w:hidden w:val="0"/>
    <w:qFormat w:val="0"/>
    <w:rPr>
      <w:rFonts w:ascii="TUOS Blake" w:hAnsi="TUOS Blake"/>
      <w:w w:val="100"/>
      <w:position w:val="-1"/>
      <w:effect w:val="none"/>
      <w:vertAlign w:val="baseline"/>
      <w:cs w:val="0"/>
      <w:em w:val="none"/>
      <w:lang w:eastAsia="zh-CN"/>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TUOS Blake" w:hAnsi="TUOS Blake"/>
      <w:b w:val="1"/>
      <w:bCs w:val="1"/>
      <w:w w:val="100"/>
      <w:position w:val="-1"/>
      <w:sz w:val="20"/>
      <w:szCs w:val="20"/>
      <w:effect w:val="none"/>
      <w:vertAlign w:val="baseline"/>
      <w:cs w:val="0"/>
      <w:em w:val="none"/>
      <w:lang w:bidi="ar-SA" w:eastAsia="zh-CN" w:val="en-GB"/>
    </w:rPr>
  </w:style>
  <w:style w:type="character" w:styleId="CommentSubjectChar">
    <w:name w:val="Comment Subject Char"/>
    <w:next w:val="CommentSubjectChar"/>
    <w:autoRedefine w:val="0"/>
    <w:hidden w:val="0"/>
    <w:qFormat w:val="0"/>
    <w:rPr>
      <w:rFonts w:ascii="TUOS Blake" w:hAnsi="TUOS Blake"/>
      <w:b w:val="1"/>
      <w:bCs w:val="1"/>
      <w:w w:val="100"/>
      <w:position w:val="-1"/>
      <w:effect w:val="none"/>
      <w:vertAlign w:val="baseline"/>
      <w:cs w:val="0"/>
      <w:em w:val="none"/>
      <w:lang w:eastAsia="zh-CN"/>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heffield.ac.uk/faculty/arts-and-humanities/research-innovation/early-career-fellowships" TargetMode="External"/><Relationship Id="rId9" Type="http://schemas.openxmlformats.org/officeDocument/2006/relationships/hyperlink" Target="https://www.sheffield.ac.uk/arts-humanities/research/early-career-fellowship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leverhulme.ac.uk/early-career-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p4zUhwjAm8/K7qLm4V3pKTf6Xg==">AMUW2mUQ9xE1oruqGIu9KfEBLeZ6wpTsDaAxnRDoDYDAG9qYxUJMXHsC//K2rB3r/6ife5T53yWbPPygEA9opZO6HfaPotEd8Ft9agfBAcCoa97yt1Toosk=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2018-11-16T10:52:00Z</dcterms:created>
  <dc:creator>Ad1awd</dc:creator>
</cp:coreProperties>
</file>

<file path=docProps/custom.xml><?xml version="1.0" encoding="utf-8"?>
<Properties xmlns="http://schemas.openxmlformats.org/officeDocument/2006/custom-properties" xmlns:vt="http://schemas.openxmlformats.org/officeDocument/2006/docPropsVTypes"/>
</file>